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175357">
      <w:pPr>
        <w:pStyle w:val="3"/>
        <w:spacing w:before="120" w:after="120" w:line="26" w:lineRule="atLeast"/>
        <w:rPr>
          <w:rtl/>
        </w:rPr>
      </w:pPr>
      <w:r w:rsidRPr="00A26E75">
        <w:rPr>
          <w:rtl/>
        </w:rPr>
        <w:t>מדריך למורה</w:t>
      </w:r>
    </w:p>
    <w:p w:rsidR="008505C7" w:rsidRDefault="008505C7" w:rsidP="00175357">
      <w:pPr>
        <w:pStyle w:val="3"/>
        <w:spacing w:before="120" w:after="120" w:line="26" w:lineRule="atLeast"/>
        <w:rPr>
          <w:rFonts w:hint="cs"/>
          <w:rtl/>
        </w:rPr>
      </w:pPr>
      <w:r w:rsidRPr="00A26E75">
        <w:rPr>
          <w:rtl/>
        </w:rPr>
        <w:t xml:space="preserve">מסכת </w:t>
      </w:r>
      <w:r w:rsidR="00A35480">
        <w:rPr>
          <w:rFonts w:hint="cs"/>
          <w:rtl/>
        </w:rPr>
        <w:t>תענית פרק א משנה ג</w:t>
      </w:r>
    </w:p>
    <w:p w:rsidR="006A313D" w:rsidRPr="006A313D" w:rsidRDefault="006A313D" w:rsidP="006A313D">
      <w:pPr>
        <w:rPr>
          <w:rtl/>
        </w:rPr>
      </w:pPr>
    </w:p>
    <w:p w:rsidR="00A35480" w:rsidRPr="00560211" w:rsidRDefault="00A35480" w:rsidP="00175357">
      <w:pPr>
        <w:pStyle w:val="1"/>
        <w:spacing w:line="26" w:lineRule="atLeast"/>
        <w:rPr>
          <w:rtl/>
        </w:rPr>
      </w:pPr>
      <w:r w:rsidRPr="00560211">
        <w:rPr>
          <w:rFonts w:hint="cs"/>
          <w:rtl/>
        </w:rPr>
        <w:t>מתי מתחילים לשאול גשמים?</w:t>
      </w:r>
    </w:p>
    <w:p w:rsidR="00AE443C" w:rsidRDefault="00AE443C" w:rsidP="00175357">
      <w:pPr>
        <w:spacing w:before="120" w:after="120" w:line="26" w:lineRule="atLeast"/>
        <w:rPr>
          <w:rtl/>
        </w:rPr>
      </w:pPr>
    </w:p>
    <w:p w:rsidR="00A23042" w:rsidRPr="00A26E75" w:rsidRDefault="00A23042" w:rsidP="00175357">
      <w:pPr>
        <w:spacing w:before="120" w:after="120" w:line="26" w:lineRule="atLeast"/>
        <w:rPr>
          <w:rtl/>
        </w:rPr>
      </w:pPr>
      <w:r w:rsidRPr="00A26E75">
        <w:rPr>
          <w:b/>
          <w:bCs/>
          <w:rtl/>
        </w:rPr>
        <w:t>משך ההוראה</w:t>
      </w:r>
      <w:r w:rsidRPr="00A26E75">
        <w:rPr>
          <w:rtl/>
        </w:rPr>
        <w:t xml:space="preserve">: </w:t>
      </w:r>
      <w:r w:rsidR="00AE443C">
        <w:rPr>
          <w:rFonts w:hint="cs"/>
          <w:rtl/>
        </w:rPr>
        <w:t>שיעור אחד</w:t>
      </w:r>
      <w:r w:rsidR="00271226" w:rsidRPr="00A26E75">
        <w:rPr>
          <w:rtl/>
        </w:rPr>
        <w:t>.</w:t>
      </w:r>
    </w:p>
    <w:p w:rsidR="00A23042" w:rsidRPr="00A26E75" w:rsidRDefault="00A35480" w:rsidP="00175357">
      <w:pPr>
        <w:spacing w:before="120" w:after="120" w:line="26" w:lineRule="atLeast"/>
        <w:rPr>
          <w:rtl/>
        </w:rPr>
      </w:pPr>
      <w:r>
        <w:rPr>
          <w:rFonts w:hint="cs"/>
          <w:rtl/>
        </w:rPr>
        <w:t xml:space="preserve">בזמן לימוד משנה זו נכיר משפחה מימי הבית השני. ביחידה הזו המשפחה 'תחזור' מבית המקדש לביתה שבגליל, ותתחיל להתכונן לחורף המתקרב. המשפחה תלווה אותנו לאורך הפרק, הן בקושי הגדול עת עצירת הגשמים, ובסיום הפרק אף נזכה יחד </w:t>
      </w:r>
      <w:proofErr w:type="spellStart"/>
      <w:r>
        <w:rPr>
          <w:rFonts w:hint="cs"/>
          <w:rtl/>
        </w:rPr>
        <w:t>איתה</w:t>
      </w:r>
      <w:proofErr w:type="spellEnd"/>
      <w:r>
        <w:rPr>
          <w:rFonts w:hint="cs"/>
          <w:rtl/>
        </w:rPr>
        <w:t xml:space="preserve"> לשמוח בירידת הגשמים.</w:t>
      </w:r>
    </w:p>
    <w:p w:rsidR="00A23042" w:rsidRPr="00A26E75" w:rsidRDefault="00A23042" w:rsidP="00175357">
      <w:pPr>
        <w:spacing w:before="120" w:after="120" w:line="26" w:lineRule="atLeast"/>
        <w:rPr>
          <w:rtl/>
        </w:rPr>
      </w:pPr>
    </w:p>
    <w:p w:rsidR="000B5CD3" w:rsidRPr="00A26E75" w:rsidRDefault="000B5CD3" w:rsidP="00175357">
      <w:pPr>
        <w:spacing w:before="120" w:after="120" w:line="26" w:lineRule="atLeast"/>
        <w:rPr>
          <w:rtl/>
        </w:rPr>
      </w:pPr>
      <w:r w:rsidRPr="00A26E75">
        <w:rPr>
          <w:highlight w:val="green"/>
          <w:rtl/>
        </w:rPr>
        <w:t>נוסח המשנה</w:t>
      </w:r>
    </w:p>
    <w:p w:rsidR="00A35480" w:rsidRPr="00560211" w:rsidRDefault="00A35480" w:rsidP="00175357">
      <w:pPr>
        <w:pStyle w:val="2"/>
        <w:spacing w:line="26" w:lineRule="atLeast"/>
        <w:rPr>
          <w:rtl/>
        </w:rPr>
      </w:pPr>
      <w:r w:rsidRPr="00560211">
        <w:rPr>
          <w:rFonts w:hint="eastAsia"/>
          <w:rtl/>
        </w:rPr>
        <w:t>בִּשְׁלשָׁה</w:t>
      </w:r>
      <w:r w:rsidRPr="00560211">
        <w:rPr>
          <w:rtl/>
        </w:rPr>
        <w:t xml:space="preserve"> </w:t>
      </w:r>
      <w:proofErr w:type="spellStart"/>
      <w:r w:rsidRPr="00560211">
        <w:rPr>
          <w:rFonts w:hint="eastAsia"/>
          <w:rtl/>
        </w:rPr>
        <w:t>בְּמַרְחֶשְׁוָן</w:t>
      </w:r>
      <w:proofErr w:type="spellEnd"/>
      <w:r w:rsidRPr="00560211">
        <w:rPr>
          <w:rtl/>
        </w:rPr>
        <w:t xml:space="preserve"> </w:t>
      </w:r>
      <w:proofErr w:type="spellStart"/>
      <w:r w:rsidRPr="00560211">
        <w:rPr>
          <w:rFonts w:hint="eastAsia"/>
          <w:rtl/>
        </w:rPr>
        <w:t>שׁוֹאֲלִין</w:t>
      </w:r>
      <w:proofErr w:type="spellEnd"/>
      <w:r w:rsidRPr="00560211">
        <w:rPr>
          <w:rtl/>
        </w:rPr>
        <w:t xml:space="preserve"> </w:t>
      </w:r>
      <w:r w:rsidRPr="00560211">
        <w:rPr>
          <w:rFonts w:hint="eastAsia"/>
          <w:rtl/>
        </w:rPr>
        <w:t>אֶת</w:t>
      </w:r>
      <w:r w:rsidRPr="00560211">
        <w:rPr>
          <w:rtl/>
        </w:rPr>
        <w:t xml:space="preserve"> </w:t>
      </w:r>
      <w:r w:rsidRPr="00560211">
        <w:rPr>
          <w:rFonts w:hint="eastAsia"/>
          <w:rtl/>
        </w:rPr>
        <w:t>הַגְּשָׁמִים</w:t>
      </w:r>
      <w:r w:rsidRPr="00560211">
        <w:rPr>
          <w:rtl/>
        </w:rPr>
        <w:t xml:space="preserve">. </w:t>
      </w:r>
    </w:p>
    <w:p w:rsidR="00A35480" w:rsidRPr="00560211" w:rsidRDefault="00A35480" w:rsidP="00175357">
      <w:pPr>
        <w:pStyle w:val="2"/>
        <w:spacing w:line="26" w:lineRule="atLeast"/>
        <w:rPr>
          <w:rtl/>
        </w:rPr>
      </w:pPr>
    </w:p>
    <w:p w:rsidR="00A35480" w:rsidRPr="00560211" w:rsidRDefault="00A35480" w:rsidP="00175357">
      <w:pPr>
        <w:pStyle w:val="2"/>
        <w:spacing w:line="26" w:lineRule="atLeast"/>
        <w:rPr>
          <w:rtl/>
        </w:rPr>
      </w:pPr>
      <w:r w:rsidRPr="00560211">
        <w:rPr>
          <w:rFonts w:hint="eastAsia"/>
          <w:color w:val="FF0000"/>
          <w:rtl/>
        </w:rPr>
        <w:t>רַבָּן</w:t>
      </w:r>
      <w:r w:rsidRPr="00560211">
        <w:rPr>
          <w:color w:val="FF0000"/>
          <w:rtl/>
        </w:rPr>
        <w:t xml:space="preserve"> </w:t>
      </w:r>
      <w:r w:rsidRPr="00560211">
        <w:rPr>
          <w:rFonts w:hint="eastAsia"/>
          <w:color w:val="FF0000"/>
          <w:rtl/>
        </w:rPr>
        <w:t>גַּמְלִיאֵל</w:t>
      </w:r>
      <w:r w:rsidRPr="00560211">
        <w:rPr>
          <w:color w:val="FF0000"/>
          <w:rtl/>
        </w:rPr>
        <w:t xml:space="preserve"> </w:t>
      </w:r>
      <w:r w:rsidRPr="00560211">
        <w:rPr>
          <w:rFonts w:hint="eastAsia"/>
          <w:color w:val="FF0000"/>
          <w:rtl/>
        </w:rPr>
        <w:t>אוֹמֵר</w:t>
      </w:r>
      <w:r w:rsidRPr="00560211">
        <w:rPr>
          <w:rFonts w:hint="cs"/>
          <w:color w:val="FF0000"/>
          <w:rtl/>
        </w:rPr>
        <w:t>:</w:t>
      </w:r>
      <w:r w:rsidRPr="00560211">
        <w:rPr>
          <w:color w:val="FF0000"/>
          <w:rtl/>
        </w:rPr>
        <w:t xml:space="preserve"> </w:t>
      </w:r>
      <w:r w:rsidRPr="00560211">
        <w:rPr>
          <w:rFonts w:hint="eastAsia"/>
          <w:rtl/>
        </w:rPr>
        <w:t>בְּשִׁבְעָה</w:t>
      </w:r>
      <w:r w:rsidRPr="00560211">
        <w:rPr>
          <w:rtl/>
        </w:rPr>
        <w:t xml:space="preserve"> </w:t>
      </w:r>
      <w:r w:rsidRPr="00560211">
        <w:rPr>
          <w:rFonts w:hint="eastAsia"/>
          <w:rtl/>
        </w:rPr>
        <w:t>ב</w:t>
      </w:r>
      <w:r w:rsidRPr="00560211">
        <w:rPr>
          <w:rFonts w:hint="cs"/>
          <w:rtl/>
        </w:rPr>
        <w:t>ּ</w:t>
      </w:r>
      <w:r w:rsidRPr="00560211">
        <w:rPr>
          <w:rFonts w:hint="eastAsia"/>
          <w:rtl/>
        </w:rPr>
        <w:t>וֹ</w:t>
      </w:r>
      <w:r w:rsidRPr="00560211">
        <w:rPr>
          <w:rtl/>
        </w:rPr>
        <w:t xml:space="preserve">, </w:t>
      </w:r>
    </w:p>
    <w:p w:rsidR="00A35480" w:rsidRPr="00560211" w:rsidRDefault="00A35480" w:rsidP="00175357">
      <w:pPr>
        <w:pStyle w:val="2"/>
        <w:spacing w:line="26" w:lineRule="atLeast"/>
        <w:rPr>
          <w:rtl/>
        </w:rPr>
      </w:pPr>
      <w:r w:rsidRPr="00560211">
        <w:rPr>
          <w:rFonts w:hint="eastAsia"/>
          <w:rtl/>
        </w:rPr>
        <w:t>חֲמִשָּׁה</w:t>
      </w:r>
      <w:r w:rsidRPr="00560211">
        <w:rPr>
          <w:rtl/>
        </w:rPr>
        <w:t xml:space="preserve"> </w:t>
      </w:r>
      <w:r w:rsidRPr="00560211">
        <w:rPr>
          <w:rFonts w:hint="eastAsia"/>
          <w:rtl/>
        </w:rPr>
        <w:t>עָשָׂר</w:t>
      </w:r>
      <w:r w:rsidRPr="00560211">
        <w:rPr>
          <w:rtl/>
        </w:rPr>
        <w:t xml:space="preserve"> </w:t>
      </w:r>
      <w:r w:rsidRPr="00560211">
        <w:rPr>
          <w:rFonts w:hint="eastAsia"/>
          <w:rtl/>
        </w:rPr>
        <w:t>יוֹם</w:t>
      </w:r>
      <w:r w:rsidRPr="00560211">
        <w:rPr>
          <w:rtl/>
        </w:rPr>
        <w:t xml:space="preserve"> </w:t>
      </w:r>
      <w:r w:rsidRPr="00560211">
        <w:rPr>
          <w:rFonts w:hint="eastAsia"/>
          <w:rtl/>
        </w:rPr>
        <w:t>אַחַר</w:t>
      </w:r>
      <w:r w:rsidRPr="00560211">
        <w:rPr>
          <w:rtl/>
        </w:rPr>
        <w:t xml:space="preserve"> </w:t>
      </w:r>
      <w:r w:rsidRPr="00560211">
        <w:rPr>
          <w:rFonts w:hint="eastAsia"/>
          <w:rtl/>
        </w:rPr>
        <w:t>הֶחָג</w:t>
      </w:r>
      <w:r w:rsidRPr="00560211">
        <w:rPr>
          <w:rtl/>
        </w:rPr>
        <w:t xml:space="preserve">, </w:t>
      </w:r>
    </w:p>
    <w:p w:rsidR="00A35480" w:rsidRPr="00560211" w:rsidRDefault="00A35480" w:rsidP="00175357">
      <w:pPr>
        <w:pStyle w:val="2"/>
        <w:spacing w:line="26" w:lineRule="atLeast"/>
        <w:rPr>
          <w:rtl/>
        </w:rPr>
      </w:pPr>
      <w:r w:rsidRPr="00560211">
        <w:rPr>
          <w:rFonts w:hint="eastAsia"/>
          <w:rtl/>
        </w:rPr>
        <w:t>כְּדֵי</w:t>
      </w:r>
      <w:r w:rsidRPr="00560211">
        <w:rPr>
          <w:rtl/>
        </w:rPr>
        <w:t xml:space="preserve"> </w:t>
      </w:r>
      <w:r w:rsidRPr="00560211">
        <w:rPr>
          <w:rFonts w:hint="eastAsia"/>
          <w:rtl/>
        </w:rPr>
        <w:t>שֶׁיַּגִּיעַ</w:t>
      </w:r>
      <w:r w:rsidRPr="00560211">
        <w:rPr>
          <w:rtl/>
        </w:rPr>
        <w:t xml:space="preserve"> </w:t>
      </w:r>
      <w:r w:rsidRPr="00560211">
        <w:rPr>
          <w:rFonts w:hint="eastAsia"/>
          <w:rtl/>
        </w:rPr>
        <w:t>אַחֲרוֹן</w:t>
      </w:r>
      <w:r w:rsidRPr="00560211">
        <w:rPr>
          <w:rFonts w:hint="cs"/>
          <w:rtl/>
        </w:rPr>
        <w:t xml:space="preserve"> </w:t>
      </w:r>
      <w:r w:rsidRPr="00560211">
        <w:rPr>
          <w:rFonts w:hint="eastAsia"/>
          <w:rtl/>
        </w:rPr>
        <w:t>שֶׁבְּיִשְׂרָאֵל</w:t>
      </w:r>
      <w:r w:rsidRPr="00560211">
        <w:rPr>
          <w:rtl/>
        </w:rPr>
        <w:t xml:space="preserve"> </w:t>
      </w:r>
      <w:r w:rsidRPr="00560211">
        <w:rPr>
          <w:rFonts w:hint="eastAsia"/>
          <w:rtl/>
        </w:rPr>
        <w:t>לִנְהַר</w:t>
      </w:r>
      <w:r w:rsidRPr="00560211">
        <w:rPr>
          <w:rtl/>
        </w:rPr>
        <w:t xml:space="preserve"> </w:t>
      </w:r>
      <w:r w:rsidRPr="00560211">
        <w:rPr>
          <w:rFonts w:hint="eastAsia"/>
          <w:rtl/>
        </w:rPr>
        <w:t>פְּרָת</w:t>
      </w:r>
      <w:r w:rsidRPr="00560211">
        <w:rPr>
          <w:rFonts w:hint="cs"/>
          <w:rtl/>
        </w:rPr>
        <w:t>.</w:t>
      </w:r>
    </w:p>
    <w:p w:rsidR="00A23042" w:rsidRPr="00A26E75" w:rsidRDefault="00A23042" w:rsidP="00175357">
      <w:pPr>
        <w:spacing w:before="120" w:after="120" w:line="26" w:lineRule="atLeast"/>
        <w:rPr>
          <w:rtl/>
        </w:rPr>
      </w:pPr>
    </w:p>
    <w:p w:rsidR="000B5CD3" w:rsidRDefault="00271226" w:rsidP="00175357">
      <w:pPr>
        <w:spacing w:before="120" w:after="120" w:line="26" w:lineRule="atLeast"/>
        <w:rPr>
          <w:rtl/>
        </w:rPr>
      </w:pPr>
      <w:r w:rsidRPr="00A26E75">
        <w:rPr>
          <w:highlight w:val="green"/>
          <w:rtl/>
        </w:rPr>
        <w:t>מבנה:</w:t>
      </w:r>
    </w:p>
    <w:p w:rsidR="00A35480" w:rsidRDefault="00A35480" w:rsidP="00175357">
      <w:pPr>
        <w:pStyle w:val="a3"/>
        <w:numPr>
          <w:ilvl w:val="0"/>
          <w:numId w:val="11"/>
        </w:numPr>
        <w:spacing w:before="120" w:after="120" w:line="26" w:lineRule="atLeast"/>
        <w:contextualSpacing w:val="0"/>
        <w:jc w:val="left"/>
      </w:pPr>
      <w:r>
        <w:rPr>
          <w:rFonts w:hint="cs"/>
          <w:rtl/>
        </w:rPr>
        <w:t>זיהוי המחלוקת שבמשנה באמצעות זיהוי האומר.</w:t>
      </w:r>
    </w:p>
    <w:p w:rsidR="00A35480" w:rsidRDefault="00A35480" w:rsidP="00175357">
      <w:pPr>
        <w:pStyle w:val="a3"/>
        <w:numPr>
          <w:ilvl w:val="0"/>
          <w:numId w:val="11"/>
        </w:numPr>
        <w:spacing w:before="120" w:after="120" w:line="26" w:lineRule="atLeast"/>
        <w:contextualSpacing w:val="0"/>
        <w:jc w:val="left"/>
      </w:pPr>
      <w:r>
        <w:rPr>
          <w:rFonts w:hint="cs"/>
          <w:rtl/>
        </w:rPr>
        <w:t>זיהוי התאריכים שמופיעים במשנה. (שלושה במרחשוון, שבעה בו=באותו חודש)</w:t>
      </w:r>
    </w:p>
    <w:p w:rsidR="00A35480" w:rsidRPr="00A35480" w:rsidRDefault="00A35480" w:rsidP="00175357">
      <w:pPr>
        <w:pStyle w:val="a3"/>
        <w:numPr>
          <w:ilvl w:val="0"/>
          <w:numId w:val="11"/>
        </w:numPr>
        <w:spacing w:before="120" w:after="120" w:line="26" w:lineRule="atLeast"/>
        <w:contextualSpacing w:val="0"/>
        <w:jc w:val="left"/>
        <w:rPr>
          <w:b/>
          <w:bCs/>
        </w:rPr>
      </w:pPr>
      <w:r w:rsidRPr="00A35480">
        <w:rPr>
          <w:rFonts w:hint="cs"/>
          <w:b/>
          <w:bCs/>
          <w:rtl/>
        </w:rPr>
        <w:t>זיהוי מילת הטעם - כדי</w:t>
      </w:r>
    </w:p>
    <w:p w:rsidR="00A35480" w:rsidRPr="00A26E75" w:rsidRDefault="00A35480" w:rsidP="00175357">
      <w:pPr>
        <w:pStyle w:val="a3"/>
        <w:spacing w:before="120" w:after="120" w:line="26" w:lineRule="atLeast"/>
        <w:ind w:left="360"/>
        <w:contextualSpacing w:val="0"/>
        <w:jc w:val="left"/>
        <w:rPr>
          <w:rtl/>
        </w:rPr>
      </w:pPr>
    </w:p>
    <w:p w:rsidR="000B5CD3" w:rsidRDefault="000B5CD3" w:rsidP="00175357">
      <w:pPr>
        <w:spacing w:before="120" w:after="120" w:line="26" w:lineRule="atLeast"/>
        <w:rPr>
          <w:rtl/>
        </w:rPr>
      </w:pPr>
      <w:r w:rsidRPr="00A26E75">
        <w:rPr>
          <w:highlight w:val="green"/>
          <w:rtl/>
        </w:rPr>
        <w:t>תוכן</w:t>
      </w:r>
    </w:p>
    <w:p w:rsidR="00A35480" w:rsidRDefault="00A35480" w:rsidP="00175357">
      <w:pPr>
        <w:pStyle w:val="a3"/>
        <w:numPr>
          <w:ilvl w:val="0"/>
          <w:numId w:val="12"/>
        </w:numPr>
        <w:spacing w:before="120" w:after="120" w:line="26" w:lineRule="atLeast"/>
        <w:contextualSpacing w:val="0"/>
      </w:pPr>
      <w:r>
        <w:rPr>
          <w:rFonts w:hint="cs"/>
          <w:rtl/>
        </w:rPr>
        <w:t>נסין היטב את הדעות השונות. כמה ימים אחרי החג מתחילים לשאול גשמים לפי תנא קמא וכמה ימים לפי רבן גמליאל. נמצא את התשובות ללא חישוב בימים אלא תוך איתור התשובה במשנה.</w:t>
      </w:r>
    </w:p>
    <w:p w:rsidR="00A35480" w:rsidRDefault="00A35480" w:rsidP="00175357">
      <w:pPr>
        <w:pStyle w:val="a3"/>
        <w:numPr>
          <w:ilvl w:val="0"/>
          <w:numId w:val="12"/>
        </w:numPr>
        <w:spacing w:before="120" w:after="120" w:line="26" w:lineRule="atLeast"/>
        <w:contextualSpacing w:val="0"/>
      </w:pPr>
      <w:r>
        <w:rPr>
          <w:rFonts w:hint="cs"/>
          <w:rtl/>
        </w:rPr>
        <w:t xml:space="preserve">הבנת הטעם שנתן רבן גמליאל לדבריו </w:t>
      </w:r>
      <w:r>
        <w:rPr>
          <w:rtl/>
        </w:rPr>
        <w:t>–</w:t>
      </w:r>
      <w:r>
        <w:rPr>
          <w:rFonts w:hint="cs"/>
          <w:rtl/>
        </w:rPr>
        <w:t xml:space="preserve"> כדי שיגיע אחרון שבישראל לנהר פרת.</w:t>
      </w:r>
    </w:p>
    <w:p w:rsidR="00A35480" w:rsidRDefault="00A35480" w:rsidP="00175357">
      <w:pPr>
        <w:spacing w:before="120" w:after="120" w:line="26" w:lineRule="atLeast"/>
        <w:ind w:left="360"/>
      </w:pPr>
      <w:r>
        <w:rPr>
          <w:rFonts w:hint="cs"/>
          <w:rtl/>
        </w:rPr>
        <w:t>נכיר את מצוות העלייה לרגל</w:t>
      </w:r>
      <w:r w:rsidR="00AE443C">
        <w:rPr>
          <w:rFonts w:hint="cs"/>
          <w:rtl/>
        </w:rPr>
        <w:t xml:space="preserve">, ונבין שיהודים התאמצו מאוד בימי קדם לקיים אותה </w:t>
      </w:r>
      <w:r w:rsidR="00AE443C">
        <w:rPr>
          <w:rtl/>
        </w:rPr>
        <w:t>–</w:t>
      </w:r>
      <w:r w:rsidR="00AE443C">
        <w:rPr>
          <w:rFonts w:hint="cs"/>
          <w:rtl/>
        </w:rPr>
        <w:t xml:space="preserve"> לעזוב את הבית לכמה שבועות </w:t>
      </w:r>
      <w:r w:rsidR="00AE443C">
        <w:rPr>
          <w:rtl/>
        </w:rPr>
        <w:t>–</w:t>
      </w:r>
      <w:r w:rsidR="00AE443C">
        <w:rPr>
          <w:rFonts w:hint="cs"/>
          <w:rtl/>
        </w:rPr>
        <w:t xml:space="preserve"> שלוש פעמים בשנה! (מי שגר בחוץ לארץ אינו מחויב במצווה, אך בימי הבית השני יהודים עלו לרגל גם מאזור בבל ונהר פרת, וחכמים התחשבו בהם ודחו את תחילת שאלת הגשמים עד שיגיעו לבתיהם)</w:t>
      </w:r>
    </w:p>
    <w:p w:rsidR="00AE443C" w:rsidRDefault="00AE443C" w:rsidP="00175357">
      <w:pPr>
        <w:spacing w:before="120" w:after="120" w:line="26" w:lineRule="atLeast"/>
        <w:ind w:left="360"/>
        <w:rPr>
          <w:rtl/>
        </w:rPr>
      </w:pPr>
    </w:p>
    <w:p w:rsidR="001B50C7" w:rsidRPr="00A26E75" w:rsidRDefault="001B50C7" w:rsidP="00175357">
      <w:pPr>
        <w:spacing w:before="120" w:after="120" w:line="26" w:lineRule="atLeast"/>
        <w:rPr>
          <w:rtl/>
        </w:rPr>
      </w:pPr>
      <w:r w:rsidRPr="00A26E75">
        <w:rPr>
          <w:highlight w:val="green"/>
          <w:rtl/>
        </w:rPr>
        <w:t>מיומנות</w:t>
      </w:r>
    </w:p>
    <w:p w:rsidR="001B50C7" w:rsidRPr="00A26E75" w:rsidRDefault="001B50C7" w:rsidP="00175357">
      <w:pPr>
        <w:spacing w:before="120" w:after="120" w:line="26" w:lineRule="atLeast"/>
        <w:rPr>
          <w:rtl/>
        </w:rPr>
      </w:pPr>
      <w:r w:rsidRPr="00A26E75">
        <w:rPr>
          <w:rtl/>
        </w:rPr>
        <w:t xml:space="preserve">במשנה זו </w:t>
      </w:r>
      <w:r w:rsidR="00A35480">
        <w:rPr>
          <w:rFonts w:hint="cs"/>
          <w:rtl/>
        </w:rPr>
        <w:t xml:space="preserve">נלמד לזהות מילות טעם ונבין שכאשר מופיעה במשנה מילת טעם </w:t>
      </w:r>
      <w:r w:rsidR="00A35480">
        <w:rPr>
          <w:rtl/>
        </w:rPr>
        <w:t>–</w:t>
      </w:r>
      <w:r w:rsidR="00A35480">
        <w:rPr>
          <w:rFonts w:hint="cs"/>
          <w:rtl/>
        </w:rPr>
        <w:t xml:space="preserve"> זהו סימן לכך שיש במשנה משפט שפקידו הוא להסביר את הדין או דעה מסוימת שמופיעים במשנה.</w:t>
      </w:r>
    </w:p>
    <w:p w:rsidR="001D03C0" w:rsidRDefault="001B50C7" w:rsidP="00175357">
      <w:pPr>
        <w:spacing w:before="120" w:after="120" w:line="26" w:lineRule="atLeast"/>
        <w:rPr>
          <w:rtl/>
        </w:rPr>
      </w:pPr>
      <w:r w:rsidRPr="00A26E75">
        <w:rPr>
          <w:highlight w:val="green"/>
          <w:rtl/>
        </w:rPr>
        <w:t>משמעות</w:t>
      </w:r>
    </w:p>
    <w:p w:rsidR="00AE443C" w:rsidRDefault="00AE443C" w:rsidP="00175357">
      <w:pPr>
        <w:pStyle w:val="a3"/>
        <w:numPr>
          <w:ilvl w:val="0"/>
          <w:numId w:val="14"/>
        </w:numPr>
        <w:spacing w:before="120" w:after="120" w:line="26" w:lineRule="atLeast"/>
        <w:contextualSpacing w:val="0"/>
      </w:pPr>
      <w:r>
        <w:rPr>
          <w:rFonts w:hint="cs"/>
          <w:rtl/>
        </w:rPr>
        <w:t>הכרת המאמץ יוצא הדופן שהיה נדרש בימי קדם לקיום מצוות העלייה לרגל. הפנמת העובדה שחכמים רצו לעודד את האנשים לקיים מצווה לא קלה זו, ולכן דחו את תחילת שאילת הגשמים.</w:t>
      </w:r>
    </w:p>
    <w:p w:rsidR="00AE443C" w:rsidRDefault="00AE443C" w:rsidP="00175357">
      <w:pPr>
        <w:pStyle w:val="a3"/>
        <w:numPr>
          <w:ilvl w:val="0"/>
          <w:numId w:val="14"/>
        </w:numPr>
        <w:spacing w:before="120" w:after="120" w:line="26" w:lineRule="atLeast"/>
        <w:contextualSpacing w:val="0"/>
      </w:pPr>
      <w:r>
        <w:rPr>
          <w:rFonts w:hint="cs"/>
          <w:rtl/>
        </w:rPr>
        <w:t xml:space="preserve">נתחיל </w:t>
      </w:r>
      <w:proofErr w:type="spellStart"/>
      <w:r>
        <w:rPr>
          <w:rFonts w:hint="cs"/>
          <w:rtl/>
        </w:rPr>
        <w:t>להכינס</w:t>
      </w:r>
      <w:proofErr w:type="spellEnd"/>
      <w:r>
        <w:rPr>
          <w:rFonts w:hint="cs"/>
          <w:rtl/>
        </w:rPr>
        <w:t xml:space="preserve"> לאווירה של ימי המשנה </w:t>
      </w:r>
      <w:r>
        <w:rPr>
          <w:rtl/>
        </w:rPr>
        <w:t>–</w:t>
      </w:r>
      <w:r>
        <w:rPr>
          <w:rFonts w:hint="cs"/>
          <w:rtl/>
        </w:rPr>
        <w:t xml:space="preserve"> ההכנות לקראת הגשמים, הכנת השדות וזריעתם, והתקווה הגדולה שתהיה שנה ברוכה, ומתוכה האכזבה הגדולה והקושי העצומים בשנים שחונות. הקרבה שהאווירה הזו יוצרת לקב"ה והרגשת התלות הקיומית בהשגחתו.</w:t>
      </w:r>
    </w:p>
    <w:p w:rsidR="00AE443C" w:rsidRPr="00A26E75" w:rsidRDefault="00AE443C" w:rsidP="00175357">
      <w:pPr>
        <w:pStyle w:val="a3"/>
        <w:spacing w:before="120" w:after="120" w:line="26" w:lineRule="atLeast"/>
        <w:ind w:left="360"/>
        <w:contextualSpacing w:val="0"/>
        <w:rPr>
          <w:rtl/>
        </w:rPr>
      </w:pPr>
    </w:p>
    <w:p w:rsidR="001B50C7" w:rsidRPr="00A26E75" w:rsidRDefault="001B50C7" w:rsidP="00175357">
      <w:pPr>
        <w:spacing w:before="120" w:after="120" w:line="26" w:lineRule="atLeast"/>
        <w:rPr>
          <w:rtl/>
        </w:rPr>
      </w:pPr>
      <w:r w:rsidRPr="00A26E75">
        <w:rPr>
          <w:highlight w:val="green"/>
          <w:rtl/>
        </w:rPr>
        <w:t>הישגים בהוראת המשנה:</w:t>
      </w:r>
    </w:p>
    <w:p w:rsidR="000B5CD3" w:rsidRPr="00A26E75" w:rsidRDefault="000B5CD3" w:rsidP="00175357">
      <w:pPr>
        <w:spacing w:before="120" w:after="120" w:line="26" w:lineRule="atLeast"/>
        <w:rPr>
          <w:rtl/>
        </w:rPr>
      </w:pPr>
      <w:r w:rsidRPr="00A26E75">
        <w:rPr>
          <w:highlight w:val="yellow"/>
          <w:rtl/>
        </w:rPr>
        <w:lastRenderedPageBreak/>
        <w:t>מושגי תוכן</w:t>
      </w:r>
    </w:p>
    <w:p w:rsidR="00AE443C" w:rsidRPr="00AE443C" w:rsidRDefault="00AE443C" w:rsidP="00175357">
      <w:pPr>
        <w:spacing w:before="120" w:after="120" w:line="26" w:lineRule="atLeast"/>
        <w:rPr>
          <w:b/>
          <w:bCs/>
          <w:sz w:val="26"/>
          <w:szCs w:val="26"/>
          <w:rtl/>
        </w:rPr>
      </w:pPr>
      <w:r w:rsidRPr="00AE443C">
        <w:rPr>
          <w:rFonts w:hint="cs"/>
          <w:b/>
          <w:bCs/>
          <w:sz w:val="26"/>
          <w:szCs w:val="26"/>
          <w:rtl/>
        </w:rPr>
        <w:t>כדי שיגיע אחרון שבישראל לנהר פרת</w:t>
      </w:r>
    </w:p>
    <w:p w:rsidR="00AE443C" w:rsidRPr="00560211" w:rsidRDefault="00AE443C" w:rsidP="00175357">
      <w:pPr>
        <w:spacing w:before="120" w:after="120" w:line="26" w:lineRule="atLeast"/>
        <w:rPr>
          <w:sz w:val="26"/>
          <w:szCs w:val="26"/>
          <w:rtl/>
        </w:rPr>
      </w:pPr>
      <w:r w:rsidRPr="00560211">
        <w:rPr>
          <w:rFonts w:hint="cs"/>
          <w:sz w:val="26"/>
          <w:szCs w:val="26"/>
          <w:rtl/>
        </w:rPr>
        <w:t xml:space="preserve">שלוש פעמים בשנה (פסח, שבועות וסוכות) </w:t>
      </w:r>
      <w:proofErr w:type="spellStart"/>
      <w:r w:rsidRPr="00D711F5">
        <w:rPr>
          <w:rFonts w:hint="cs"/>
          <w:sz w:val="26"/>
          <w:szCs w:val="26"/>
          <w:rtl/>
        </w:rPr>
        <w:t>מְצֻוִּים</w:t>
      </w:r>
      <w:proofErr w:type="spellEnd"/>
      <w:r w:rsidRPr="00560211">
        <w:rPr>
          <w:rFonts w:hint="cs"/>
          <w:sz w:val="26"/>
          <w:szCs w:val="26"/>
          <w:rtl/>
        </w:rPr>
        <w:t xml:space="preserve"> כל בני ישראל הגרים בארץ ישראל לעזוב את ביתם </w:t>
      </w:r>
      <w:r>
        <w:rPr>
          <w:rFonts w:hint="cs"/>
          <w:sz w:val="26"/>
          <w:szCs w:val="26"/>
          <w:rtl/>
        </w:rPr>
        <w:t>ולעלות לבית המקדש בירושלים. מצוָ</w:t>
      </w:r>
      <w:r w:rsidRPr="00560211">
        <w:rPr>
          <w:rFonts w:hint="cs"/>
          <w:sz w:val="26"/>
          <w:szCs w:val="26"/>
          <w:rtl/>
        </w:rPr>
        <w:t xml:space="preserve">ה זו נקראת </w:t>
      </w:r>
      <w:r w:rsidRPr="00560211">
        <w:rPr>
          <w:rFonts w:hint="cs"/>
          <w:b/>
          <w:bCs/>
          <w:sz w:val="26"/>
          <w:szCs w:val="26"/>
          <w:rtl/>
        </w:rPr>
        <w:t>עלייה לרגל</w:t>
      </w:r>
      <w:r w:rsidRPr="00560211">
        <w:rPr>
          <w:rFonts w:hint="cs"/>
          <w:sz w:val="26"/>
          <w:szCs w:val="26"/>
          <w:rtl/>
        </w:rPr>
        <w:t>.</w:t>
      </w:r>
    </w:p>
    <w:p w:rsidR="00AE443C" w:rsidRPr="00560211" w:rsidRDefault="00AE443C" w:rsidP="00175357">
      <w:pPr>
        <w:spacing w:before="120" w:after="120" w:line="26" w:lineRule="atLeast"/>
        <w:rPr>
          <w:sz w:val="26"/>
          <w:szCs w:val="26"/>
          <w:rtl/>
        </w:rPr>
      </w:pPr>
      <w:r w:rsidRPr="00560211">
        <w:rPr>
          <w:rFonts w:hint="cs"/>
          <w:sz w:val="26"/>
          <w:szCs w:val="26"/>
          <w:rtl/>
        </w:rPr>
        <w:t xml:space="preserve">בימי בית המקדש השני היו עולים לרגל גם יהודים רבים שלא גרו בארץ ישראל, אלא במקומות מרוחקים יותר, כדוגמת נהר פרת, אשר מרחק ההליכה ממנו לארץ ישראל היה כשבועיים. </w:t>
      </w:r>
    </w:p>
    <w:p w:rsidR="00AE443C" w:rsidRDefault="00AE443C" w:rsidP="00175357">
      <w:pPr>
        <w:spacing w:before="120" w:after="120" w:line="26" w:lineRule="atLeast"/>
        <w:rPr>
          <w:highlight w:val="yellow"/>
          <w:rtl/>
        </w:rPr>
      </w:pPr>
    </w:p>
    <w:p w:rsidR="00AE443C" w:rsidRPr="00560211" w:rsidRDefault="00AE443C" w:rsidP="00175357">
      <w:pPr>
        <w:spacing w:before="120" w:after="120" w:line="26" w:lineRule="atLeast"/>
        <w:rPr>
          <w:b/>
          <w:bCs/>
          <w:sz w:val="26"/>
          <w:szCs w:val="26"/>
          <w:rtl/>
        </w:rPr>
      </w:pPr>
      <w:r w:rsidRPr="00560211">
        <w:rPr>
          <w:rFonts w:hint="cs"/>
          <w:b/>
          <w:bCs/>
          <w:sz w:val="26"/>
          <w:szCs w:val="26"/>
          <w:rtl/>
        </w:rPr>
        <w:t>טעם</w:t>
      </w:r>
    </w:p>
    <w:p w:rsidR="00AE443C" w:rsidRPr="00560211" w:rsidRDefault="00AE443C" w:rsidP="00175357">
      <w:pPr>
        <w:spacing w:before="120" w:after="120" w:line="26" w:lineRule="atLeast"/>
        <w:rPr>
          <w:sz w:val="26"/>
          <w:szCs w:val="26"/>
          <w:rtl/>
        </w:rPr>
      </w:pPr>
      <w:r w:rsidRPr="00560211">
        <w:rPr>
          <w:rFonts w:hint="cs"/>
          <w:sz w:val="26"/>
          <w:szCs w:val="26"/>
          <w:rtl/>
        </w:rPr>
        <w:t xml:space="preserve">לכל </w:t>
      </w:r>
      <w:r w:rsidRPr="00560211">
        <w:rPr>
          <w:rFonts w:hint="cs"/>
          <w:b/>
          <w:bCs/>
          <w:sz w:val="26"/>
          <w:szCs w:val="26"/>
          <w:rtl/>
        </w:rPr>
        <w:t>דין</w:t>
      </w:r>
      <w:r w:rsidRPr="00560211">
        <w:rPr>
          <w:rFonts w:hint="cs"/>
          <w:sz w:val="26"/>
          <w:szCs w:val="26"/>
          <w:rtl/>
        </w:rPr>
        <w:t xml:space="preserve"> שנזכר במשנה יש </w:t>
      </w:r>
      <w:r w:rsidRPr="00560211">
        <w:rPr>
          <w:rFonts w:hint="cs"/>
          <w:b/>
          <w:bCs/>
          <w:sz w:val="26"/>
          <w:szCs w:val="26"/>
          <w:rtl/>
        </w:rPr>
        <w:t>טעם,</w:t>
      </w:r>
      <w:r w:rsidRPr="00560211">
        <w:rPr>
          <w:rFonts w:hint="cs"/>
          <w:sz w:val="26"/>
          <w:szCs w:val="26"/>
          <w:rtl/>
        </w:rPr>
        <w:t xml:space="preserve"> </w:t>
      </w:r>
      <w:r w:rsidRPr="00560211">
        <w:rPr>
          <w:rFonts w:hint="cs"/>
          <w:b/>
          <w:bCs/>
          <w:sz w:val="26"/>
          <w:szCs w:val="26"/>
          <w:rtl/>
        </w:rPr>
        <w:t xml:space="preserve">הנימוק </w:t>
      </w:r>
      <w:r w:rsidRPr="00560211">
        <w:rPr>
          <w:rFonts w:hint="cs"/>
          <w:sz w:val="26"/>
          <w:szCs w:val="26"/>
          <w:rtl/>
        </w:rPr>
        <w:t xml:space="preserve">לכך שהדין נקבע כמו שנקבע. </w:t>
      </w:r>
      <w:r w:rsidRPr="00D711F5">
        <w:rPr>
          <w:rFonts w:hint="cs"/>
          <w:sz w:val="26"/>
          <w:szCs w:val="26"/>
          <w:rtl/>
        </w:rPr>
        <w:t>הַתַּנָּאִים</w:t>
      </w:r>
      <w:r w:rsidRPr="00560211">
        <w:rPr>
          <w:rFonts w:hint="cs"/>
          <w:sz w:val="26"/>
          <w:szCs w:val="26"/>
          <w:rtl/>
        </w:rPr>
        <w:t xml:space="preserve"> לא אמרו דברים סתם כך, ולכל דין שהוזכר במשנה יש סיבה</w:t>
      </w:r>
      <w:r>
        <w:rPr>
          <w:rFonts w:hint="cs"/>
          <w:sz w:val="26"/>
          <w:szCs w:val="26"/>
          <w:rtl/>
        </w:rPr>
        <w:t>,</w:t>
      </w:r>
      <w:r w:rsidRPr="00560211">
        <w:rPr>
          <w:rFonts w:hint="cs"/>
          <w:sz w:val="26"/>
          <w:szCs w:val="26"/>
          <w:rtl/>
        </w:rPr>
        <w:t xml:space="preserve"> גם אם היא לא נזכרת במשנה במפורש.</w:t>
      </w:r>
    </w:p>
    <w:p w:rsidR="00AE443C" w:rsidRPr="00560211" w:rsidRDefault="00AE443C" w:rsidP="00175357">
      <w:pPr>
        <w:spacing w:before="120" w:after="120" w:line="26" w:lineRule="atLeast"/>
        <w:rPr>
          <w:sz w:val="26"/>
          <w:szCs w:val="26"/>
          <w:rtl/>
        </w:rPr>
      </w:pPr>
      <w:r w:rsidRPr="00560211">
        <w:rPr>
          <w:rFonts w:hint="cs"/>
          <w:sz w:val="26"/>
          <w:szCs w:val="26"/>
          <w:rtl/>
        </w:rPr>
        <w:t>מדי פעם מציינת המשנה את טעמו של הדין המובא במשנה או את טעמו של אחד מהתנאים החולקים במשנה. לעתים מובא במשנה</w:t>
      </w:r>
      <w:r w:rsidRPr="00560211">
        <w:rPr>
          <w:rFonts w:hint="cs"/>
          <w:b/>
          <w:bCs/>
          <w:sz w:val="26"/>
          <w:szCs w:val="26"/>
          <w:rtl/>
        </w:rPr>
        <w:t xml:space="preserve"> פסוק</w:t>
      </w:r>
      <w:r w:rsidRPr="00560211">
        <w:rPr>
          <w:rFonts w:hint="cs"/>
          <w:sz w:val="26"/>
          <w:szCs w:val="26"/>
          <w:rtl/>
        </w:rPr>
        <w:t xml:space="preserve"> כנימוק.</w:t>
      </w:r>
    </w:p>
    <w:p w:rsidR="00AE443C" w:rsidRPr="00560211" w:rsidRDefault="00AE443C" w:rsidP="00175357">
      <w:pPr>
        <w:spacing w:before="120" w:after="120" w:line="26" w:lineRule="atLeast"/>
        <w:rPr>
          <w:sz w:val="26"/>
          <w:szCs w:val="26"/>
          <w:rtl/>
        </w:rPr>
      </w:pPr>
    </w:p>
    <w:p w:rsidR="00AE443C" w:rsidRPr="00560211" w:rsidRDefault="00AE443C" w:rsidP="00175357">
      <w:pPr>
        <w:spacing w:before="120" w:after="120" w:line="26" w:lineRule="atLeast"/>
        <w:rPr>
          <w:sz w:val="26"/>
          <w:szCs w:val="26"/>
          <w:rtl/>
        </w:rPr>
      </w:pPr>
      <w:r w:rsidRPr="00560211">
        <w:rPr>
          <w:rFonts w:hint="cs"/>
          <w:sz w:val="26"/>
          <w:szCs w:val="26"/>
          <w:rtl/>
        </w:rPr>
        <w:t xml:space="preserve">את המילים במשנה שהן טעם נוכל לזהות באמצעות </w:t>
      </w:r>
      <w:r w:rsidRPr="00560211">
        <w:rPr>
          <w:rFonts w:hint="cs"/>
          <w:b/>
          <w:bCs/>
          <w:sz w:val="26"/>
          <w:szCs w:val="26"/>
          <w:rtl/>
        </w:rPr>
        <w:t>מילות הטעם</w:t>
      </w:r>
      <w:r w:rsidRPr="00560211">
        <w:rPr>
          <w:rFonts w:hint="cs"/>
          <w:sz w:val="26"/>
          <w:szCs w:val="26"/>
          <w:rtl/>
        </w:rPr>
        <w:t xml:space="preserve"> שיופיעו לפני הטעם.</w:t>
      </w:r>
    </w:p>
    <w:p w:rsidR="00AE443C" w:rsidRPr="00560211" w:rsidRDefault="00AE443C" w:rsidP="00175357">
      <w:pPr>
        <w:spacing w:before="120" w:after="120" w:line="26" w:lineRule="atLeast"/>
        <w:rPr>
          <w:sz w:val="26"/>
          <w:szCs w:val="26"/>
          <w:rtl/>
        </w:rPr>
      </w:pPr>
      <w:r w:rsidRPr="00560211">
        <w:rPr>
          <w:rFonts w:hint="cs"/>
          <w:b/>
          <w:bCs/>
          <w:sz w:val="26"/>
          <w:szCs w:val="26"/>
          <w:rtl/>
        </w:rPr>
        <w:t>מילות טעם נפוצות</w:t>
      </w:r>
      <w:r w:rsidRPr="00560211">
        <w:rPr>
          <w:rFonts w:hint="cs"/>
          <w:sz w:val="26"/>
          <w:szCs w:val="26"/>
          <w:rtl/>
        </w:rPr>
        <w:t>: כדי, מפני, שמא, שנאמר (כאשר הטעם הוא פסוק).</w:t>
      </w:r>
    </w:p>
    <w:p w:rsidR="00AE443C" w:rsidRDefault="00AE443C" w:rsidP="00175357">
      <w:pPr>
        <w:spacing w:before="120" w:after="120" w:line="26" w:lineRule="atLeast"/>
        <w:rPr>
          <w:highlight w:val="yellow"/>
          <w:rtl/>
        </w:rPr>
      </w:pPr>
    </w:p>
    <w:p w:rsidR="00AE443C" w:rsidRPr="001269DD" w:rsidRDefault="00AE443C" w:rsidP="00541E0C">
      <w:pPr>
        <w:bidi w:val="0"/>
        <w:spacing w:before="120" w:after="120" w:line="26" w:lineRule="atLeast"/>
      </w:pPr>
      <w:bookmarkStart w:id="0" w:name="_GoBack"/>
      <w:bookmarkEnd w:id="0"/>
    </w:p>
    <w:sectPr w:rsidR="00AE443C" w:rsidRPr="001269DD"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F06A70"/>
    <w:multiLevelType w:val="hybridMultilevel"/>
    <w:tmpl w:val="F12C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F7E"/>
    <w:multiLevelType w:val="hybridMultilevel"/>
    <w:tmpl w:val="91445E54"/>
    <w:lvl w:ilvl="0" w:tplc="02F0F73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3D0AF7"/>
    <w:multiLevelType w:val="hybridMultilevel"/>
    <w:tmpl w:val="02C6AC3C"/>
    <w:lvl w:ilvl="0" w:tplc="350694F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3E4005"/>
    <w:multiLevelType w:val="hybridMultilevel"/>
    <w:tmpl w:val="239A2942"/>
    <w:lvl w:ilvl="0" w:tplc="9B2453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B2B2C"/>
    <w:multiLevelType w:val="hybridMultilevel"/>
    <w:tmpl w:val="027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A1C35"/>
    <w:multiLevelType w:val="hybridMultilevel"/>
    <w:tmpl w:val="4E744F3C"/>
    <w:lvl w:ilvl="0" w:tplc="BA9EF9A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130FA6"/>
    <w:multiLevelType w:val="hybridMultilevel"/>
    <w:tmpl w:val="9D22D32C"/>
    <w:lvl w:ilvl="0" w:tplc="E118D6B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793024"/>
    <w:multiLevelType w:val="hybridMultilevel"/>
    <w:tmpl w:val="2792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2F2BA1"/>
    <w:multiLevelType w:val="hybridMultilevel"/>
    <w:tmpl w:val="F83EF44A"/>
    <w:lvl w:ilvl="0" w:tplc="BB568C1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14"/>
  </w:num>
  <w:num w:numId="5">
    <w:abstractNumId w:val="4"/>
  </w:num>
  <w:num w:numId="6">
    <w:abstractNumId w:val="18"/>
  </w:num>
  <w:num w:numId="7">
    <w:abstractNumId w:val="16"/>
  </w:num>
  <w:num w:numId="8">
    <w:abstractNumId w:val="6"/>
  </w:num>
  <w:num w:numId="9">
    <w:abstractNumId w:val="11"/>
  </w:num>
  <w:num w:numId="10">
    <w:abstractNumId w:val="15"/>
  </w:num>
  <w:num w:numId="11">
    <w:abstractNumId w:val="9"/>
  </w:num>
  <w:num w:numId="12">
    <w:abstractNumId w:val="5"/>
  </w:num>
  <w:num w:numId="13">
    <w:abstractNumId w:val="1"/>
  </w:num>
  <w:num w:numId="14">
    <w:abstractNumId w:val="3"/>
  </w:num>
  <w:num w:numId="15">
    <w:abstractNumId w:val="8"/>
  </w:num>
  <w:num w:numId="16">
    <w:abstractNumId w:val="10"/>
  </w:num>
  <w:num w:numId="17">
    <w:abstractNumId w:val="7"/>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A35480"/>
    <w:rsid w:val="000B045B"/>
    <w:rsid w:val="000B5CD3"/>
    <w:rsid w:val="000C561B"/>
    <w:rsid w:val="001269DD"/>
    <w:rsid w:val="00175357"/>
    <w:rsid w:val="0019654E"/>
    <w:rsid w:val="001B50C7"/>
    <w:rsid w:val="001D03C0"/>
    <w:rsid w:val="00271226"/>
    <w:rsid w:val="00312906"/>
    <w:rsid w:val="003F4355"/>
    <w:rsid w:val="00452F3C"/>
    <w:rsid w:val="0051555E"/>
    <w:rsid w:val="00541E0C"/>
    <w:rsid w:val="00556AF9"/>
    <w:rsid w:val="006A313D"/>
    <w:rsid w:val="007C1AF3"/>
    <w:rsid w:val="008505C7"/>
    <w:rsid w:val="008644CA"/>
    <w:rsid w:val="009269E0"/>
    <w:rsid w:val="00995B68"/>
    <w:rsid w:val="00A23042"/>
    <w:rsid w:val="00A26E75"/>
    <w:rsid w:val="00A35480"/>
    <w:rsid w:val="00AA35DA"/>
    <w:rsid w:val="00AC3E63"/>
    <w:rsid w:val="00AE443C"/>
    <w:rsid w:val="00B53636"/>
    <w:rsid w:val="00BC67BF"/>
    <w:rsid w:val="00C14600"/>
    <w:rsid w:val="00C313C5"/>
    <w:rsid w:val="00C32100"/>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unhideWhenUsed/>
    <w:rsid w:val="007C1AF3"/>
    <w:pPr>
      <w:spacing w:line="240" w:lineRule="auto"/>
    </w:pPr>
    <w:rPr>
      <w:sz w:val="20"/>
      <w:szCs w:val="20"/>
    </w:rPr>
  </w:style>
  <w:style w:type="character" w:customStyle="1" w:styleId="a6">
    <w:name w:val="טקסט הערה תו"/>
    <w:basedOn w:val="a0"/>
    <w:link w:val="a5"/>
    <w:uiPriority w:val="99"/>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table" w:styleId="ad">
    <w:name w:val="Table Grid"/>
    <w:basedOn w:val="a1"/>
    <w:uiPriority w:val="59"/>
    <w:rsid w:val="00AE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1</Pages>
  <Words>422</Words>
  <Characters>2112</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4</cp:revision>
  <dcterms:created xsi:type="dcterms:W3CDTF">2016-06-21T09:23:00Z</dcterms:created>
  <dcterms:modified xsi:type="dcterms:W3CDTF">2016-06-21T09:25:00Z</dcterms:modified>
</cp:coreProperties>
</file>