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DD1FB2">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DD1FB2">
                              <w:rPr>
                                <w:rFonts w:hint="cs"/>
                                <w:b/>
                                <w:bCs/>
                                <w:color w:val="FFFFFF" w:themeColor="background1"/>
                                <w:sz w:val="40"/>
                                <w:szCs w:val="40"/>
                                <w:rtl/>
                              </w:rPr>
                              <w:t>21</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DD1FB2">
                              <w:rPr>
                                <w:rFonts w:hint="cs"/>
                                <w:b/>
                                <w:bCs/>
                                <w:color w:val="FFFFFF" w:themeColor="background1"/>
                                <w:sz w:val="40"/>
                                <w:szCs w:val="40"/>
                                <w:rtl/>
                              </w:rPr>
                              <w:t>טו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DD1FB2">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DD1FB2">
                        <w:rPr>
                          <w:rFonts w:hint="cs"/>
                          <w:b/>
                          <w:bCs/>
                          <w:color w:val="FFFFFF" w:themeColor="background1"/>
                          <w:sz w:val="40"/>
                          <w:szCs w:val="40"/>
                          <w:rtl/>
                        </w:rPr>
                        <w:t>21</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DD1FB2">
                        <w:rPr>
                          <w:rFonts w:hint="cs"/>
                          <w:b/>
                          <w:bCs/>
                          <w:color w:val="FFFFFF" w:themeColor="background1"/>
                          <w:sz w:val="40"/>
                          <w:szCs w:val="40"/>
                          <w:rtl/>
                        </w:rPr>
                        <w:t>טו</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114BEA" w:rsidRPr="00114BEA" w:rsidRDefault="00114BEA" w:rsidP="00114BEA">
      <w:pPr>
        <w:spacing w:before="240" w:after="240" w:line="360" w:lineRule="auto"/>
        <w:jc w:val="center"/>
        <w:rPr>
          <w:rFonts w:ascii="David" w:eastAsia="Arial Unicode MS" w:hAnsi="David" w:cs="David"/>
          <w:b/>
          <w:bCs/>
          <w:sz w:val="32"/>
          <w:szCs w:val="32"/>
          <w:u w:val="single"/>
          <w:rtl/>
        </w:rPr>
      </w:pPr>
      <w:bookmarkStart w:id="0" w:name="_GoBack"/>
      <w:bookmarkEnd w:id="0"/>
      <w:r w:rsidRPr="00114BEA">
        <w:rPr>
          <w:rFonts w:ascii="David" w:eastAsia="Arial Unicode MS" w:hAnsi="David" w:cs="David"/>
          <w:b/>
          <w:bCs/>
          <w:sz w:val="32"/>
          <w:szCs w:val="32"/>
          <w:u w:val="single"/>
          <w:rtl/>
        </w:rPr>
        <w:t>שמירה על טריות ארבעת המינים ו</w:t>
      </w:r>
      <w:r w:rsidRPr="00114BEA">
        <w:rPr>
          <w:rFonts w:ascii="David" w:eastAsia="Arial Unicode MS" w:hAnsi="David" w:cs="David" w:hint="cs"/>
          <w:b/>
          <w:bCs/>
          <w:sz w:val="32"/>
          <w:szCs w:val="32"/>
          <w:u w:val="single"/>
          <w:rtl/>
        </w:rPr>
        <w:t>הגיל ממנו</w:t>
      </w:r>
      <w:r w:rsidRPr="00114BEA">
        <w:rPr>
          <w:rFonts w:ascii="David" w:eastAsia="Arial Unicode MS" w:hAnsi="David" w:cs="David"/>
          <w:b/>
          <w:bCs/>
          <w:sz w:val="32"/>
          <w:szCs w:val="32"/>
          <w:u w:val="single"/>
          <w:rtl/>
        </w:rPr>
        <w:t xml:space="preserve"> קטן חייב </w:t>
      </w:r>
      <w:r w:rsidRPr="00114BEA">
        <w:rPr>
          <w:rFonts w:ascii="David" w:eastAsia="Arial Unicode MS" w:hAnsi="David" w:cs="David" w:hint="cs"/>
          <w:b/>
          <w:bCs/>
          <w:sz w:val="32"/>
          <w:szCs w:val="32"/>
          <w:u w:val="single"/>
          <w:rtl/>
        </w:rPr>
        <w:t>בנטילתם</w:t>
      </w:r>
    </w:p>
    <w:p w:rsidR="00114BEA" w:rsidRPr="00126BB1" w:rsidRDefault="00114BEA" w:rsidP="00114BEA">
      <w:pPr>
        <w:spacing w:line="360" w:lineRule="auto"/>
        <w:rPr>
          <w:rFonts w:ascii="David" w:hAnsi="David" w:cs="David"/>
          <w:sz w:val="24"/>
          <w:szCs w:val="24"/>
          <w:rtl/>
        </w:rPr>
      </w:pPr>
      <w:r w:rsidRPr="00126BB1">
        <w:rPr>
          <w:rFonts w:ascii="David" w:hAnsi="David" w:cs="David"/>
          <w:sz w:val="24"/>
          <w:szCs w:val="24"/>
          <w:rtl/>
        </w:rPr>
        <w:t>כ</w:t>
      </w:r>
      <w:r>
        <w:rPr>
          <w:rFonts w:ascii="David" w:hAnsi="David" w:cs="David" w:hint="cs"/>
          <w:sz w:val="24"/>
          <w:szCs w:val="24"/>
          <w:rtl/>
        </w:rPr>
        <w:t>די לשמור על טריות ארבעת המינים נהוג להניח אותם בכלי עם מים. פעולה זו אסורה משום מלאכת "זורע", שאחד מפרטיה הוא איסור השקיה. משנה זו מלמדת אותנו מתי מותר להחזיר את הלולב למים ומתי ניתן להוסיף מים לכלי או להחליף אותם.</w:t>
      </w:r>
    </w:p>
    <w:p w:rsidR="00114BEA" w:rsidRPr="00126BB1" w:rsidRDefault="00114BEA" w:rsidP="00114BEA">
      <w:pPr>
        <w:spacing w:line="360" w:lineRule="auto"/>
        <w:rPr>
          <w:rFonts w:ascii="David" w:hAnsi="David" w:cs="David"/>
          <w:sz w:val="24"/>
          <w:szCs w:val="24"/>
          <w:rtl/>
        </w:rPr>
      </w:pPr>
      <w:r>
        <w:rPr>
          <w:rFonts w:ascii="David" w:hAnsi="David" w:cs="David" w:hint="cs"/>
          <w:sz w:val="24"/>
          <w:szCs w:val="24"/>
          <w:rtl/>
        </w:rPr>
        <w:t>ה</w:t>
      </w:r>
      <w:r w:rsidRPr="00126BB1">
        <w:rPr>
          <w:rFonts w:ascii="David" w:hAnsi="David" w:cs="David"/>
          <w:sz w:val="24"/>
          <w:szCs w:val="24"/>
          <w:rtl/>
        </w:rPr>
        <w:t xml:space="preserve">סיפא של המשנה </w:t>
      </w:r>
      <w:r>
        <w:rPr>
          <w:rFonts w:ascii="David" w:hAnsi="David" w:cs="David" w:hint="cs"/>
          <w:sz w:val="24"/>
          <w:szCs w:val="24"/>
          <w:rtl/>
        </w:rPr>
        <w:t>עוסקת בחיוב</w:t>
      </w:r>
      <w:r w:rsidRPr="00ED420D">
        <w:rPr>
          <w:rFonts w:ascii="David" w:hAnsi="David" w:cs="David" w:hint="cs"/>
          <w:sz w:val="24"/>
          <w:szCs w:val="24"/>
          <w:rtl/>
        </w:rPr>
        <w:t xml:space="preserve"> </w:t>
      </w:r>
      <w:r>
        <w:rPr>
          <w:rFonts w:ascii="David" w:hAnsi="David" w:cs="David" w:hint="cs"/>
          <w:sz w:val="24"/>
          <w:szCs w:val="24"/>
          <w:rtl/>
        </w:rPr>
        <w:t>נטילת ארבעת המינים</w:t>
      </w:r>
      <w:r w:rsidRPr="00ED420D">
        <w:rPr>
          <w:rFonts w:ascii="David" w:hAnsi="David" w:cs="David" w:hint="cs"/>
          <w:sz w:val="24"/>
          <w:szCs w:val="24"/>
          <w:rtl/>
        </w:rPr>
        <w:t xml:space="preserve"> </w:t>
      </w:r>
      <w:r>
        <w:rPr>
          <w:rFonts w:ascii="David" w:hAnsi="David" w:cs="David" w:hint="cs"/>
          <w:sz w:val="24"/>
          <w:szCs w:val="24"/>
          <w:rtl/>
        </w:rPr>
        <w:t>מדברי</w:t>
      </w:r>
      <w:r>
        <w:rPr>
          <w:rFonts w:ascii="David" w:hAnsi="David" w:cs="David"/>
          <w:sz w:val="24"/>
          <w:szCs w:val="24"/>
          <w:rtl/>
        </w:rPr>
        <w:t xml:space="preserve"> חכמים </w:t>
      </w:r>
      <w:r>
        <w:rPr>
          <w:rFonts w:ascii="David" w:hAnsi="David" w:cs="David" w:hint="cs"/>
          <w:sz w:val="24"/>
          <w:szCs w:val="24"/>
          <w:rtl/>
        </w:rPr>
        <w:t>(</w:t>
      </w:r>
      <w:r>
        <w:rPr>
          <w:rFonts w:ascii="David" w:hAnsi="David" w:cs="David"/>
          <w:sz w:val="24"/>
          <w:szCs w:val="24"/>
          <w:rtl/>
        </w:rPr>
        <w:t>מדרבנן</w:t>
      </w:r>
      <w:r>
        <w:rPr>
          <w:rFonts w:ascii="David" w:hAnsi="David" w:cs="David" w:hint="cs"/>
          <w:sz w:val="24"/>
          <w:szCs w:val="24"/>
          <w:rtl/>
        </w:rPr>
        <w:t xml:space="preserve">) עבור ילד שעדיין לא הגיע לגיל מצוות. </w:t>
      </w:r>
    </w:p>
    <w:p w:rsidR="00114BEA" w:rsidRPr="00126BB1" w:rsidRDefault="00114BEA" w:rsidP="00114BEA">
      <w:pPr>
        <w:spacing w:after="120" w:line="360" w:lineRule="auto"/>
        <w:jc w:val="both"/>
        <w:rPr>
          <w:rFonts w:ascii="David" w:hAnsi="David" w:cs="David"/>
          <w:sz w:val="24"/>
          <w:szCs w:val="24"/>
          <w:rtl/>
        </w:rPr>
      </w:pPr>
    </w:p>
    <w:p w:rsidR="00114BEA" w:rsidRPr="00126BB1" w:rsidRDefault="00114BEA" w:rsidP="00114BEA">
      <w:pPr>
        <w:spacing w:after="120" w:line="360" w:lineRule="auto"/>
        <w:rPr>
          <w:rFonts w:ascii="David" w:hAnsi="David" w:cs="David"/>
          <w:sz w:val="24"/>
          <w:szCs w:val="24"/>
          <w:rtl/>
        </w:rPr>
      </w:pPr>
      <w:r w:rsidRPr="00126BB1">
        <w:rPr>
          <w:rFonts w:ascii="David" w:hAnsi="David" w:cs="David"/>
          <w:b/>
          <w:bCs/>
          <w:sz w:val="24"/>
          <w:szCs w:val="24"/>
          <w:rtl/>
        </w:rPr>
        <w:t>משך הוראה מומלץ</w:t>
      </w:r>
      <w:r w:rsidRPr="00126BB1">
        <w:rPr>
          <w:rFonts w:ascii="David" w:hAnsi="David" w:cs="David"/>
          <w:sz w:val="24"/>
          <w:szCs w:val="24"/>
          <w:rtl/>
        </w:rPr>
        <w:t>: שיעור אחד</w:t>
      </w:r>
    </w:p>
    <w:p w:rsidR="00114BEA" w:rsidRPr="00126BB1" w:rsidRDefault="00114BEA" w:rsidP="00114BEA">
      <w:pPr>
        <w:spacing w:after="120" w:line="360" w:lineRule="auto"/>
        <w:rPr>
          <w:rFonts w:ascii="David" w:hAnsi="David" w:cs="David"/>
          <w:sz w:val="24"/>
          <w:szCs w:val="24"/>
          <w:rtl/>
        </w:rPr>
      </w:pPr>
    </w:p>
    <w:p w:rsidR="00114BEA" w:rsidRPr="00126BB1" w:rsidRDefault="00114BEA" w:rsidP="00114BEA">
      <w:pPr>
        <w:spacing w:line="360" w:lineRule="auto"/>
        <w:rPr>
          <w:rFonts w:ascii="David" w:hAnsi="David" w:cs="David"/>
          <w:sz w:val="24"/>
          <w:szCs w:val="24"/>
          <w:highlight w:val="green"/>
          <w:rtl/>
        </w:rPr>
      </w:pPr>
      <w:r w:rsidRPr="00126BB1">
        <w:rPr>
          <w:rFonts w:ascii="David" w:hAnsi="David" w:cs="David"/>
          <w:sz w:val="24"/>
          <w:szCs w:val="24"/>
          <w:highlight w:val="green"/>
          <w:rtl/>
        </w:rPr>
        <w:t>נוסח המשנה</w:t>
      </w:r>
    </w:p>
    <w:p w:rsidR="00114BEA" w:rsidRPr="00126BB1" w:rsidRDefault="00114BEA" w:rsidP="00114BEA">
      <w:pPr>
        <w:spacing w:after="120" w:line="360" w:lineRule="auto"/>
        <w:rPr>
          <w:rFonts w:ascii="David" w:hAnsi="David" w:cs="David"/>
          <w:b/>
          <w:bCs/>
          <w:sz w:val="24"/>
          <w:szCs w:val="24"/>
          <w:rtl/>
        </w:rPr>
      </w:pPr>
      <w:r w:rsidRPr="00126BB1">
        <w:rPr>
          <w:rFonts w:ascii="David" w:hAnsi="David" w:cs="David"/>
          <w:b/>
          <w:bCs/>
          <w:sz w:val="24"/>
          <w:szCs w:val="24"/>
          <w:rtl/>
        </w:rPr>
        <w:t xml:space="preserve">מְקַבֶּלֶת </w:t>
      </w:r>
      <w:proofErr w:type="spellStart"/>
      <w:r w:rsidRPr="00126BB1">
        <w:rPr>
          <w:rFonts w:ascii="David" w:hAnsi="David" w:cs="David"/>
          <w:b/>
          <w:bCs/>
          <w:sz w:val="24"/>
          <w:szCs w:val="24"/>
          <w:rtl/>
        </w:rPr>
        <w:t>אִשָּׁה</w:t>
      </w:r>
      <w:proofErr w:type="spellEnd"/>
      <w:r w:rsidRPr="00126BB1">
        <w:rPr>
          <w:rFonts w:ascii="David" w:hAnsi="David" w:cs="David"/>
          <w:b/>
          <w:bCs/>
          <w:sz w:val="24"/>
          <w:szCs w:val="24"/>
          <w:rtl/>
        </w:rPr>
        <w:t xml:space="preserve"> מִיַּד בְּנָהּ וּמִיַּד בַּעְלָהּ</w:t>
      </w:r>
      <w:r w:rsidRPr="00126BB1">
        <w:rPr>
          <w:rFonts w:ascii="David" w:hAnsi="David" w:cs="David"/>
          <w:b/>
          <w:bCs/>
          <w:sz w:val="24"/>
          <w:szCs w:val="24"/>
        </w:rPr>
        <w:br/>
      </w:r>
      <w:r w:rsidRPr="00126BB1">
        <w:rPr>
          <w:rFonts w:ascii="David" w:hAnsi="David" w:cs="David"/>
          <w:b/>
          <w:bCs/>
          <w:sz w:val="24"/>
          <w:szCs w:val="24"/>
          <w:rtl/>
        </w:rPr>
        <w:t>וּמַחְזִירַתּוּ לַמַּיִם בַּשַּׁבָּת</w:t>
      </w:r>
      <w:r w:rsidRPr="00126BB1">
        <w:rPr>
          <w:rFonts w:ascii="David" w:hAnsi="David" w:cs="David"/>
          <w:b/>
          <w:bCs/>
          <w:sz w:val="24"/>
          <w:szCs w:val="24"/>
        </w:rPr>
        <w:t>.</w:t>
      </w:r>
      <w:r w:rsidRPr="00126BB1">
        <w:rPr>
          <w:rFonts w:ascii="David" w:hAnsi="David" w:cs="David"/>
          <w:b/>
          <w:bCs/>
          <w:sz w:val="24"/>
          <w:szCs w:val="24"/>
        </w:rPr>
        <w:br/>
      </w:r>
      <w:r w:rsidRPr="00126BB1">
        <w:rPr>
          <w:rFonts w:ascii="David" w:hAnsi="David" w:cs="David"/>
          <w:b/>
          <w:bCs/>
          <w:sz w:val="24"/>
          <w:szCs w:val="24"/>
          <w:rtl/>
        </w:rPr>
        <w:t>רַבִּי יְהוּדָה אוֹמֵר</w:t>
      </w:r>
      <w:r w:rsidRPr="00126BB1">
        <w:rPr>
          <w:rFonts w:ascii="David" w:hAnsi="David" w:cs="David"/>
          <w:b/>
          <w:bCs/>
          <w:sz w:val="24"/>
          <w:szCs w:val="24"/>
        </w:rPr>
        <w:t>:</w:t>
      </w:r>
      <w:r w:rsidRPr="00126BB1">
        <w:rPr>
          <w:rFonts w:ascii="David" w:hAnsi="David" w:cs="David"/>
          <w:b/>
          <w:bCs/>
          <w:sz w:val="24"/>
          <w:szCs w:val="24"/>
        </w:rPr>
        <w:br/>
      </w:r>
      <w:r w:rsidRPr="00126BB1">
        <w:rPr>
          <w:rFonts w:ascii="David" w:hAnsi="David" w:cs="David"/>
          <w:b/>
          <w:bCs/>
          <w:sz w:val="24"/>
          <w:szCs w:val="24"/>
          <w:rtl/>
        </w:rPr>
        <w:t xml:space="preserve">בַּשַּׁבָּת </w:t>
      </w:r>
      <w:proofErr w:type="spellStart"/>
      <w:r w:rsidRPr="00126BB1">
        <w:rPr>
          <w:rFonts w:ascii="David" w:hAnsi="David" w:cs="David"/>
          <w:b/>
          <w:bCs/>
          <w:sz w:val="24"/>
          <w:szCs w:val="24"/>
          <w:rtl/>
        </w:rPr>
        <w:t>מַחֲזִירִין</w:t>
      </w:r>
      <w:proofErr w:type="spellEnd"/>
      <w:r w:rsidRPr="00126BB1">
        <w:rPr>
          <w:rFonts w:ascii="David" w:hAnsi="David" w:cs="David"/>
          <w:b/>
          <w:bCs/>
          <w:sz w:val="24"/>
          <w:szCs w:val="24"/>
        </w:rPr>
        <w:t>,</w:t>
      </w:r>
      <w:r w:rsidRPr="00126BB1">
        <w:rPr>
          <w:rFonts w:ascii="David" w:hAnsi="David" w:cs="David"/>
          <w:b/>
          <w:bCs/>
          <w:sz w:val="24"/>
          <w:szCs w:val="24"/>
        </w:rPr>
        <w:br/>
      </w:r>
      <w:r w:rsidRPr="00126BB1">
        <w:rPr>
          <w:rFonts w:ascii="David" w:hAnsi="David" w:cs="David"/>
          <w:b/>
          <w:bCs/>
          <w:sz w:val="24"/>
          <w:szCs w:val="24"/>
          <w:rtl/>
        </w:rPr>
        <w:t xml:space="preserve">בְּיוֹם טוֹב </w:t>
      </w:r>
      <w:proofErr w:type="spellStart"/>
      <w:r w:rsidRPr="00126BB1">
        <w:rPr>
          <w:rFonts w:ascii="David" w:hAnsi="David" w:cs="David"/>
          <w:b/>
          <w:bCs/>
          <w:sz w:val="24"/>
          <w:szCs w:val="24"/>
          <w:rtl/>
        </w:rPr>
        <w:t>מוֹסִיפִין</w:t>
      </w:r>
      <w:proofErr w:type="spellEnd"/>
      <w:r w:rsidRPr="00126BB1">
        <w:rPr>
          <w:rFonts w:ascii="David" w:hAnsi="David" w:cs="David"/>
          <w:b/>
          <w:bCs/>
          <w:sz w:val="24"/>
          <w:szCs w:val="24"/>
        </w:rPr>
        <w:t>,</w:t>
      </w:r>
      <w:r w:rsidRPr="00126BB1">
        <w:rPr>
          <w:rFonts w:ascii="David" w:hAnsi="David" w:cs="David"/>
          <w:b/>
          <w:bCs/>
          <w:sz w:val="24"/>
          <w:szCs w:val="24"/>
        </w:rPr>
        <w:br/>
      </w:r>
      <w:r w:rsidRPr="00126BB1">
        <w:rPr>
          <w:rFonts w:ascii="David" w:hAnsi="David" w:cs="David"/>
          <w:b/>
          <w:bCs/>
          <w:sz w:val="24"/>
          <w:szCs w:val="24"/>
          <w:rtl/>
        </w:rPr>
        <w:t>וּבַמּוֹעֵד מַחֲלִיפִין</w:t>
      </w:r>
      <w:r w:rsidRPr="00126BB1">
        <w:rPr>
          <w:rFonts w:ascii="David" w:hAnsi="David" w:cs="David"/>
          <w:b/>
          <w:bCs/>
          <w:sz w:val="24"/>
          <w:szCs w:val="24"/>
        </w:rPr>
        <w:t>.</w:t>
      </w:r>
    </w:p>
    <w:p w:rsidR="00114BEA" w:rsidRPr="00126BB1" w:rsidRDefault="00114BEA" w:rsidP="00114BEA">
      <w:pPr>
        <w:spacing w:after="120" w:line="360" w:lineRule="auto"/>
        <w:rPr>
          <w:rFonts w:ascii="David" w:hAnsi="David" w:cs="David"/>
          <w:b/>
          <w:bCs/>
          <w:sz w:val="24"/>
          <w:szCs w:val="24"/>
          <w:rtl/>
        </w:rPr>
      </w:pPr>
      <w:r w:rsidRPr="00126BB1">
        <w:rPr>
          <w:rFonts w:ascii="David" w:hAnsi="David" w:cs="David"/>
          <w:b/>
          <w:bCs/>
          <w:sz w:val="24"/>
          <w:szCs w:val="24"/>
        </w:rPr>
        <w:br/>
      </w:r>
      <w:r w:rsidRPr="00126BB1">
        <w:rPr>
          <w:rFonts w:ascii="David" w:hAnsi="David" w:cs="David"/>
          <w:b/>
          <w:bCs/>
          <w:sz w:val="24"/>
          <w:szCs w:val="24"/>
          <w:rtl/>
        </w:rPr>
        <w:t xml:space="preserve">קָטָן הַיּוֹדֵעַ לְנַעֲנֵעַ </w:t>
      </w:r>
      <w:proofErr w:type="spellStart"/>
      <w:r w:rsidRPr="00126BB1">
        <w:rPr>
          <w:rFonts w:ascii="David" w:hAnsi="David" w:cs="David"/>
          <w:b/>
          <w:bCs/>
          <w:sz w:val="24"/>
          <w:szCs w:val="24"/>
          <w:rtl/>
        </w:rPr>
        <w:t>חַיָּב</w:t>
      </w:r>
      <w:proofErr w:type="spellEnd"/>
      <w:r w:rsidRPr="00126BB1">
        <w:rPr>
          <w:rFonts w:ascii="David" w:hAnsi="David" w:cs="David"/>
          <w:b/>
          <w:bCs/>
          <w:sz w:val="24"/>
          <w:szCs w:val="24"/>
          <w:rtl/>
        </w:rPr>
        <w:t xml:space="preserve"> בַּלּוּלָב</w:t>
      </w:r>
      <w:r w:rsidRPr="00126BB1">
        <w:rPr>
          <w:rFonts w:ascii="David" w:hAnsi="David" w:cs="David"/>
          <w:b/>
          <w:bCs/>
          <w:sz w:val="24"/>
          <w:szCs w:val="24"/>
        </w:rPr>
        <w:t>.</w:t>
      </w:r>
    </w:p>
    <w:p w:rsidR="00114BEA" w:rsidRDefault="00114BEA" w:rsidP="00114BEA">
      <w:pPr>
        <w:spacing w:line="360" w:lineRule="auto"/>
        <w:rPr>
          <w:rFonts w:ascii="David" w:hAnsi="David" w:cs="David"/>
          <w:sz w:val="24"/>
          <w:szCs w:val="24"/>
          <w:highlight w:val="green"/>
          <w:rtl/>
        </w:rPr>
      </w:pPr>
    </w:p>
    <w:p w:rsidR="00114BEA" w:rsidRPr="00126BB1" w:rsidRDefault="00114BEA" w:rsidP="00114BEA">
      <w:pPr>
        <w:spacing w:line="360" w:lineRule="auto"/>
        <w:rPr>
          <w:rFonts w:ascii="David" w:hAnsi="David" w:cs="David"/>
          <w:sz w:val="24"/>
          <w:szCs w:val="24"/>
          <w:highlight w:val="green"/>
          <w:rtl/>
        </w:rPr>
      </w:pPr>
      <w:r w:rsidRPr="00126BB1">
        <w:rPr>
          <w:rFonts w:ascii="David" w:hAnsi="David" w:cs="David"/>
          <w:sz w:val="24"/>
          <w:szCs w:val="24"/>
          <w:highlight w:val="green"/>
          <w:rtl/>
        </w:rPr>
        <w:t>מבנה</w:t>
      </w:r>
    </w:p>
    <w:p w:rsidR="00114BEA" w:rsidRDefault="00114BEA" w:rsidP="00114BEA">
      <w:pPr>
        <w:spacing w:line="360" w:lineRule="auto"/>
        <w:rPr>
          <w:rFonts w:ascii="David" w:hAnsi="David" w:cs="David"/>
          <w:sz w:val="24"/>
          <w:szCs w:val="24"/>
          <w:rtl/>
        </w:rPr>
      </w:pPr>
      <w:r>
        <w:rPr>
          <w:rFonts w:ascii="David" w:hAnsi="David" w:cs="David" w:hint="cs"/>
          <w:sz w:val="24"/>
          <w:szCs w:val="24"/>
          <w:rtl/>
        </w:rPr>
        <w:t>למשנה זו שני חלקים שונים. הרישא של המשנה עוסקת בשמירה על טריות ארבעת המינים, ואילו הסיפא עוסקת בגיל ממנו גם ילד קטן חייב ליטול את ארבעת המינים.</w:t>
      </w:r>
    </w:p>
    <w:p w:rsidR="00114BEA" w:rsidRDefault="00114BEA" w:rsidP="00114BEA">
      <w:pPr>
        <w:spacing w:line="360" w:lineRule="auto"/>
        <w:rPr>
          <w:rFonts w:ascii="David" w:hAnsi="David" w:cs="David"/>
          <w:sz w:val="24"/>
          <w:szCs w:val="24"/>
          <w:rtl/>
        </w:rPr>
      </w:pPr>
      <w:r>
        <w:rPr>
          <w:rFonts w:ascii="David" w:hAnsi="David" w:cs="David" w:hint="cs"/>
          <w:sz w:val="24"/>
          <w:szCs w:val="24"/>
          <w:rtl/>
        </w:rPr>
        <w:t>בחלק הראשון נבקש מהתלמידים לאתר את המקרים והדינים, ואילו בסיפא נבקש מהתלמידים לזהות את מילת הדין (משימה 2).</w:t>
      </w:r>
    </w:p>
    <w:p w:rsidR="00114BEA" w:rsidRDefault="00114BEA" w:rsidP="00114BEA">
      <w:pPr>
        <w:spacing w:line="360" w:lineRule="auto"/>
        <w:rPr>
          <w:rFonts w:ascii="David" w:hAnsi="David" w:cs="David"/>
          <w:sz w:val="24"/>
          <w:szCs w:val="24"/>
          <w:rtl/>
        </w:rPr>
      </w:pPr>
    </w:p>
    <w:p w:rsidR="00114BEA" w:rsidRPr="00126BB1" w:rsidRDefault="00114BEA" w:rsidP="00114BEA">
      <w:pPr>
        <w:spacing w:line="360" w:lineRule="auto"/>
        <w:rPr>
          <w:rFonts w:ascii="David" w:hAnsi="David" w:cs="David"/>
          <w:sz w:val="24"/>
          <w:szCs w:val="24"/>
          <w:rtl/>
        </w:rPr>
      </w:pPr>
      <w:r w:rsidRPr="00126BB1">
        <w:rPr>
          <w:rFonts w:ascii="David" w:hAnsi="David" w:cs="David"/>
          <w:sz w:val="24"/>
          <w:szCs w:val="24"/>
          <w:highlight w:val="green"/>
          <w:rtl/>
        </w:rPr>
        <w:t>תוכן</w:t>
      </w:r>
    </w:p>
    <w:p w:rsidR="00114BEA" w:rsidRPr="00126BB1" w:rsidRDefault="00114BEA" w:rsidP="00114BEA">
      <w:pPr>
        <w:spacing w:line="360" w:lineRule="auto"/>
        <w:rPr>
          <w:rFonts w:ascii="David" w:hAnsi="David" w:cs="David"/>
          <w:b/>
          <w:bCs/>
          <w:sz w:val="24"/>
          <w:szCs w:val="24"/>
          <w:rtl/>
        </w:rPr>
      </w:pPr>
      <w:r w:rsidRPr="00126BB1">
        <w:rPr>
          <w:rFonts w:ascii="David" w:hAnsi="David" w:cs="David"/>
          <w:b/>
          <w:bCs/>
          <w:sz w:val="24"/>
          <w:szCs w:val="24"/>
          <w:rtl/>
        </w:rPr>
        <w:t>השקיית זרעים</w:t>
      </w:r>
    </w:p>
    <w:p w:rsidR="00114BEA" w:rsidRPr="00126BB1" w:rsidRDefault="00114BEA" w:rsidP="00114BEA">
      <w:pPr>
        <w:spacing w:line="360" w:lineRule="auto"/>
        <w:rPr>
          <w:rFonts w:ascii="David" w:hAnsi="David" w:cs="David"/>
          <w:sz w:val="24"/>
          <w:szCs w:val="24"/>
          <w:rtl/>
        </w:rPr>
      </w:pPr>
      <w:r>
        <w:rPr>
          <w:rFonts w:ascii="David" w:hAnsi="David" w:cs="David"/>
          <w:sz w:val="24"/>
          <w:szCs w:val="24"/>
          <w:rtl/>
        </w:rPr>
        <w:t>אחת מ</w:t>
      </w:r>
      <w:r w:rsidRPr="00126BB1">
        <w:rPr>
          <w:rFonts w:ascii="David" w:hAnsi="David" w:cs="David"/>
          <w:sz w:val="24"/>
          <w:szCs w:val="24"/>
          <w:rtl/>
        </w:rPr>
        <w:t xml:space="preserve">ל"ט המלאכות האסורות בשבת ובחג היא מלאכת 'זורע'. מלאכה זו מורכבת מפעולות המביאות לצמיחה, כגון זריעת זרעים ונטיעת שתילים. בנוסף, כל פעולה שמשפרת </w:t>
      </w:r>
      <w:r>
        <w:rPr>
          <w:rFonts w:ascii="David" w:hAnsi="David" w:cs="David"/>
          <w:sz w:val="24"/>
          <w:szCs w:val="24"/>
          <w:rtl/>
        </w:rPr>
        <w:t xml:space="preserve">את צמיחת </w:t>
      </w:r>
      <w:r>
        <w:rPr>
          <w:rFonts w:ascii="David" w:hAnsi="David" w:cs="David"/>
          <w:sz w:val="24"/>
          <w:szCs w:val="24"/>
          <w:rtl/>
        </w:rPr>
        <w:lastRenderedPageBreak/>
        <w:t>הענפים או הפירות אסורה</w:t>
      </w:r>
      <w:r>
        <w:rPr>
          <w:rFonts w:ascii="David" w:hAnsi="David" w:cs="David" w:hint="cs"/>
          <w:sz w:val="24"/>
          <w:szCs w:val="24"/>
          <w:rtl/>
        </w:rPr>
        <w:t>,</w:t>
      </w:r>
      <w:r w:rsidRPr="00126BB1">
        <w:rPr>
          <w:rFonts w:ascii="David" w:hAnsi="David" w:cs="David"/>
          <w:sz w:val="24"/>
          <w:szCs w:val="24"/>
          <w:rtl/>
        </w:rPr>
        <w:t xml:space="preserve"> לכן אסור להשקות צמחים בשבת או בחג או להניח אותם בכלי עם מים. אולם אם המטרה היא רק לשמור על טריות הענפים ולא לזרוע אותם, אין איסור בדבר.</w:t>
      </w:r>
    </w:p>
    <w:p w:rsidR="00114BEA" w:rsidRDefault="00114BEA" w:rsidP="00114BEA">
      <w:pPr>
        <w:spacing w:line="360" w:lineRule="auto"/>
        <w:rPr>
          <w:rFonts w:ascii="David" w:hAnsi="David" w:cs="David"/>
          <w:sz w:val="24"/>
          <w:szCs w:val="24"/>
          <w:rtl/>
        </w:rPr>
      </w:pPr>
      <w:r w:rsidRPr="00126BB1">
        <w:rPr>
          <w:rFonts w:ascii="David" w:hAnsi="David" w:cs="David"/>
          <w:sz w:val="24"/>
          <w:szCs w:val="24"/>
          <w:rtl/>
        </w:rPr>
        <w:t xml:space="preserve">רבי יהודה אומר שבחג מותר </w:t>
      </w:r>
      <w:r>
        <w:rPr>
          <w:rFonts w:ascii="David" w:hAnsi="David" w:cs="David" w:hint="cs"/>
          <w:sz w:val="24"/>
          <w:szCs w:val="24"/>
          <w:rtl/>
        </w:rPr>
        <w:t xml:space="preserve">אפילו </w:t>
      </w:r>
      <w:r w:rsidRPr="00126BB1">
        <w:rPr>
          <w:rFonts w:ascii="David" w:hAnsi="David" w:cs="David"/>
          <w:sz w:val="24"/>
          <w:szCs w:val="24"/>
          <w:rtl/>
        </w:rPr>
        <w:t>להוסיף מים לכלי שבו מניחים את המינים, ובחול המועד מותר אף להחליף את המים במים חדשים.</w:t>
      </w:r>
      <w:r>
        <w:rPr>
          <w:rFonts w:ascii="David" w:hAnsi="David" w:cs="David" w:hint="cs"/>
          <w:sz w:val="24"/>
          <w:szCs w:val="24"/>
          <w:rtl/>
        </w:rPr>
        <w:t xml:space="preserve"> ביחידה זו נבקש מהתלמידים לזהות איזו פעולה אסורה בשבת ואיזו מותרת (לפי תנא קמא), וכן להסביר מדוע פעולה זו מותרת לגבי ארבעת המינים (משימה 4). </w:t>
      </w:r>
    </w:p>
    <w:p w:rsidR="00114BEA" w:rsidRPr="00126BB1" w:rsidRDefault="00114BEA" w:rsidP="00114BEA">
      <w:pPr>
        <w:spacing w:line="360" w:lineRule="auto"/>
        <w:rPr>
          <w:rFonts w:ascii="David" w:hAnsi="David" w:cs="David"/>
          <w:sz w:val="24"/>
          <w:szCs w:val="24"/>
          <w:rtl/>
        </w:rPr>
      </w:pPr>
      <w:r>
        <w:rPr>
          <w:rFonts w:ascii="David" w:hAnsi="David" w:cs="David" w:hint="cs"/>
          <w:sz w:val="24"/>
          <w:szCs w:val="24"/>
          <w:rtl/>
        </w:rPr>
        <w:t>כמו כן נבקש מהתלמידים למלא טבלה המסכמת את שיטת רבי יהודה, ומדגישה את ההדרגתיות בין שבת, חג וחול המועד (משימה 5).</w:t>
      </w:r>
    </w:p>
    <w:p w:rsidR="00114BEA" w:rsidRDefault="00114BEA" w:rsidP="00114BEA">
      <w:pPr>
        <w:spacing w:line="360" w:lineRule="auto"/>
        <w:rPr>
          <w:rFonts w:ascii="David" w:hAnsi="David" w:cs="David"/>
          <w:b/>
          <w:bCs/>
          <w:sz w:val="24"/>
          <w:szCs w:val="24"/>
          <w:rtl/>
        </w:rPr>
      </w:pPr>
    </w:p>
    <w:p w:rsidR="00114BEA" w:rsidRPr="00126BB1" w:rsidRDefault="00114BEA" w:rsidP="00114BEA">
      <w:pPr>
        <w:spacing w:line="360" w:lineRule="auto"/>
        <w:rPr>
          <w:rFonts w:ascii="David" w:hAnsi="David" w:cs="David"/>
          <w:b/>
          <w:bCs/>
          <w:sz w:val="24"/>
          <w:szCs w:val="24"/>
          <w:rtl/>
        </w:rPr>
      </w:pPr>
      <w:r w:rsidRPr="00126BB1">
        <w:rPr>
          <w:rFonts w:ascii="David" w:hAnsi="David" w:cs="David"/>
          <w:b/>
          <w:bCs/>
          <w:sz w:val="24"/>
          <w:szCs w:val="24"/>
          <w:rtl/>
        </w:rPr>
        <w:t>קטן היודע לנענע</w:t>
      </w:r>
    </w:p>
    <w:p w:rsidR="00114BEA" w:rsidRPr="00126BB1" w:rsidRDefault="00114BEA" w:rsidP="00114BEA">
      <w:pPr>
        <w:spacing w:line="360" w:lineRule="auto"/>
        <w:rPr>
          <w:rFonts w:ascii="David" w:hAnsi="David" w:cs="David"/>
          <w:sz w:val="24"/>
          <w:szCs w:val="24"/>
          <w:rtl/>
        </w:rPr>
      </w:pPr>
      <w:r>
        <w:rPr>
          <w:rFonts w:ascii="David" w:hAnsi="David" w:cs="David"/>
          <w:sz w:val="24"/>
          <w:szCs w:val="24"/>
          <w:rtl/>
        </w:rPr>
        <w:t>בסיפא של המשנה נאמר ש</w:t>
      </w:r>
      <w:r w:rsidRPr="00126BB1">
        <w:rPr>
          <w:rFonts w:ascii="David" w:hAnsi="David" w:cs="David"/>
          <w:sz w:val="24"/>
          <w:szCs w:val="24"/>
          <w:rtl/>
        </w:rPr>
        <w:t xml:space="preserve">ילד קטן </w:t>
      </w:r>
      <w:r>
        <w:rPr>
          <w:rFonts w:ascii="David" w:hAnsi="David" w:cs="David" w:hint="cs"/>
          <w:sz w:val="24"/>
          <w:szCs w:val="24"/>
          <w:rtl/>
        </w:rPr>
        <w:t>ש</w:t>
      </w:r>
      <w:r w:rsidRPr="00126BB1">
        <w:rPr>
          <w:rFonts w:ascii="David" w:hAnsi="David" w:cs="David"/>
          <w:sz w:val="24"/>
          <w:szCs w:val="24"/>
          <w:rtl/>
        </w:rPr>
        <w:t>הגיע לגיל שבו הוא יודע</w:t>
      </w:r>
      <w:r w:rsidRPr="00ED420D">
        <w:rPr>
          <w:rFonts w:ascii="David" w:hAnsi="David" w:cs="David"/>
          <w:sz w:val="24"/>
          <w:szCs w:val="24"/>
          <w:rtl/>
        </w:rPr>
        <w:t xml:space="preserve"> </w:t>
      </w:r>
      <w:r w:rsidRPr="00126BB1">
        <w:rPr>
          <w:rFonts w:ascii="David" w:hAnsi="David" w:cs="David"/>
          <w:sz w:val="24"/>
          <w:szCs w:val="24"/>
          <w:rtl/>
        </w:rPr>
        <w:t>ליטול את ארבעת המינים</w:t>
      </w:r>
      <w:r>
        <w:rPr>
          <w:rFonts w:ascii="David" w:hAnsi="David" w:cs="David" w:hint="cs"/>
          <w:sz w:val="24"/>
          <w:szCs w:val="24"/>
          <w:rtl/>
        </w:rPr>
        <w:t xml:space="preserve"> ולנענע אותם </w:t>
      </w:r>
      <w:r>
        <w:rPr>
          <w:rFonts w:ascii="David" w:hAnsi="David" w:cs="David"/>
          <w:sz w:val="24"/>
          <w:szCs w:val="24"/>
          <w:rtl/>
        </w:rPr>
        <w:t>–</w:t>
      </w:r>
      <w:r w:rsidRPr="00126BB1">
        <w:rPr>
          <w:rFonts w:ascii="David" w:hAnsi="David" w:cs="David"/>
          <w:sz w:val="24"/>
          <w:szCs w:val="24"/>
          <w:rtl/>
        </w:rPr>
        <w:t xml:space="preserve"> </w:t>
      </w:r>
      <w:r>
        <w:rPr>
          <w:rFonts w:ascii="David" w:hAnsi="David" w:cs="David" w:hint="cs"/>
          <w:sz w:val="24"/>
          <w:szCs w:val="24"/>
          <w:rtl/>
        </w:rPr>
        <w:t xml:space="preserve">למרות </w:t>
      </w:r>
      <w:r w:rsidRPr="00126BB1">
        <w:rPr>
          <w:rFonts w:ascii="David" w:hAnsi="David" w:cs="David"/>
          <w:sz w:val="24"/>
          <w:szCs w:val="24"/>
          <w:rtl/>
        </w:rPr>
        <w:t xml:space="preserve">שעדיין </w:t>
      </w:r>
      <w:r>
        <w:rPr>
          <w:rFonts w:ascii="David" w:hAnsi="David" w:cs="David" w:hint="cs"/>
          <w:sz w:val="24"/>
          <w:szCs w:val="24"/>
          <w:rtl/>
        </w:rPr>
        <w:t>אינו</w:t>
      </w:r>
      <w:r>
        <w:rPr>
          <w:rFonts w:ascii="David" w:hAnsi="David" w:cs="David"/>
          <w:sz w:val="24"/>
          <w:szCs w:val="24"/>
          <w:rtl/>
        </w:rPr>
        <w:t xml:space="preserve"> חייב במצוות מהתור</w:t>
      </w:r>
      <w:r>
        <w:rPr>
          <w:rFonts w:ascii="David" w:hAnsi="David" w:cs="David" w:hint="cs"/>
          <w:sz w:val="24"/>
          <w:szCs w:val="24"/>
          <w:rtl/>
        </w:rPr>
        <w:t xml:space="preserve">ה, הוא </w:t>
      </w:r>
      <w:r>
        <w:rPr>
          <w:rFonts w:ascii="David" w:hAnsi="David" w:cs="David"/>
          <w:sz w:val="24"/>
          <w:szCs w:val="24"/>
          <w:rtl/>
        </w:rPr>
        <w:t>חייב ב</w:t>
      </w:r>
      <w:r>
        <w:rPr>
          <w:rFonts w:ascii="David" w:hAnsi="David" w:cs="David" w:hint="cs"/>
          <w:sz w:val="24"/>
          <w:szCs w:val="24"/>
          <w:rtl/>
        </w:rPr>
        <w:t xml:space="preserve">מצווה זו </w:t>
      </w:r>
      <w:r>
        <w:rPr>
          <w:rFonts w:ascii="David" w:hAnsi="David" w:cs="David"/>
          <w:sz w:val="24"/>
          <w:szCs w:val="24"/>
          <w:rtl/>
        </w:rPr>
        <w:t>מדברי חכמים</w:t>
      </w:r>
      <w:r>
        <w:rPr>
          <w:rFonts w:ascii="David" w:hAnsi="David" w:cs="David" w:hint="cs"/>
          <w:sz w:val="24"/>
          <w:szCs w:val="24"/>
          <w:rtl/>
        </w:rPr>
        <w:t xml:space="preserve">, </w:t>
      </w:r>
      <w:r>
        <w:rPr>
          <w:rFonts w:ascii="David" w:hAnsi="David" w:cs="David"/>
          <w:sz w:val="24"/>
          <w:szCs w:val="24"/>
          <w:rtl/>
        </w:rPr>
        <w:t>כלומר</w:t>
      </w:r>
      <w:r w:rsidRPr="00126BB1">
        <w:rPr>
          <w:rFonts w:ascii="David" w:hAnsi="David" w:cs="David"/>
          <w:sz w:val="24"/>
          <w:szCs w:val="24"/>
          <w:rtl/>
        </w:rPr>
        <w:t xml:space="preserve"> מדרבנן</w:t>
      </w:r>
      <w:r>
        <w:rPr>
          <w:rFonts w:ascii="David" w:hAnsi="David" w:cs="David" w:hint="cs"/>
          <w:sz w:val="24"/>
          <w:szCs w:val="24"/>
          <w:rtl/>
        </w:rPr>
        <w:t xml:space="preserve"> ולא מדאורייתא</w:t>
      </w:r>
      <w:r w:rsidRPr="00126BB1">
        <w:rPr>
          <w:rFonts w:ascii="David" w:hAnsi="David" w:cs="David"/>
          <w:sz w:val="24"/>
          <w:szCs w:val="24"/>
          <w:rtl/>
        </w:rPr>
        <w:t>.</w:t>
      </w:r>
      <w:r>
        <w:rPr>
          <w:rFonts w:ascii="David" w:hAnsi="David" w:cs="David" w:hint="cs"/>
          <w:sz w:val="24"/>
          <w:szCs w:val="24"/>
          <w:rtl/>
        </w:rPr>
        <w:t xml:space="preserve"> ביחידה התלמידים יעמדו על ההבחנה בין רמת החיוב השונה, וכן ידעו ממתי חלה החובה מדרבנן גם על ילד קטן (משימה 6).</w:t>
      </w:r>
    </w:p>
    <w:p w:rsidR="00114BEA" w:rsidRPr="00126BB1" w:rsidRDefault="00114BEA" w:rsidP="00114BEA">
      <w:pPr>
        <w:spacing w:after="120" w:line="360" w:lineRule="auto"/>
        <w:rPr>
          <w:rFonts w:ascii="David" w:hAnsi="David" w:cs="David"/>
          <w:sz w:val="24"/>
          <w:szCs w:val="24"/>
          <w:rtl/>
        </w:rPr>
      </w:pPr>
    </w:p>
    <w:p w:rsidR="00114BEA" w:rsidRPr="00126BB1" w:rsidRDefault="00114BEA" w:rsidP="00114BEA">
      <w:pPr>
        <w:spacing w:after="120" w:line="360" w:lineRule="auto"/>
        <w:rPr>
          <w:rFonts w:ascii="David" w:hAnsi="David" w:cs="David"/>
          <w:sz w:val="24"/>
          <w:szCs w:val="24"/>
          <w:rtl/>
        </w:rPr>
      </w:pPr>
      <w:r w:rsidRPr="00126BB1">
        <w:rPr>
          <w:rFonts w:ascii="David" w:hAnsi="David" w:cs="David"/>
          <w:sz w:val="24"/>
          <w:szCs w:val="24"/>
          <w:highlight w:val="green"/>
          <w:rtl/>
        </w:rPr>
        <w:t>מיומנות</w:t>
      </w:r>
    </w:p>
    <w:p w:rsidR="00114BEA" w:rsidRPr="001529C9" w:rsidRDefault="00114BEA" w:rsidP="00114BEA">
      <w:pPr>
        <w:pStyle w:val="aa"/>
        <w:numPr>
          <w:ilvl w:val="0"/>
          <w:numId w:val="11"/>
        </w:numPr>
        <w:spacing w:after="120" w:line="360" w:lineRule="auto"/>
        <w:rPr>
          <w:rFonts w:ascii="David" w:hAnsi="David" w:cs="David"/>
          <w:b/>
          <w:bCs/>
          <w:sz w:val="24"/>
          <w:szCs w:val="24"/>
          <w:rtl/>
        </w:rPr>
      </w:pPr>
      <w:r w:rsidRPr="001529C9">
        <w:rPr>
          <w:rFonts w:ascii="David" w:hAnsi="David" w:cs="David" w:hint="cs"/>
          <w:b/>
          <w:bCs/>
          <w:sz w:val="24"/>
          <w:szCs w:val="24"/>
          <w:rtl/>
        </w:rPr>
        <w:t>הבנת המשנה שכתובה בלשון קצרה (משימה 1)</w:t>
      </w:r>
    </w:p>
    <w:p w:rsidR="00114BEA" w:rsidRDefault="00114BEA" w:rsidP="00114BEA">
      <w:pPr>
        <w:spacing w:after="120" w:line="360" w:lineRule="auto"/>
        <w:rPr>
          <w:rFonts w:ascii="David" w:hAnsi="David" w:cs="David"/>
          <w:sz w:val="24"/>
          <w:szCs w:val="24"/>
          <w:rtl/>
        </w:rPr>
      </w:pPr>
      <w:r>
        <w:rPr>
          <w:rFonts w:ascii="David" w:hAnsi="David" w:cs="David" w:hint="cs"/>
          <w:sz w:val="24"/>
          <w:szCs w:val="24"/>
          <w:rtl/>
        </w:rPr>
        <w:t>לעיתים המשנה כתובה בלשון קצרה או חסרה, כמו במשנה זו, ועל התלמידים לברר במה עוסקת המשנה ולהשלים את החסר בה.</w:t>
      </w:r>
    </w:p>
    <w:p w:rsidR="00114BEA" w:rsidRPr="001529C9" w:rsidRDefault="00114BEA" w:rsidP="00114BEA">
      <w:pPr>
        <w:pStyle w:val="aa"/>
        <w:numPr>
          <w:ilvl w:val="0"/>
          <w:numId w:val="11"/>
        </w:numPr>
        <w:spacing w:line="360" w:lineRule="auto"/>
        <w:rPr>
          <w:rFonts w:ascii="David" w:hAnsi="David" w:cs="David"/>
          <w:b/>
          <w:bCs/>
          <w:sz w:val="24"/>
          <w:szCs w:val="24"/>
          <w:rtl/>
        </w:rPr>
      </w:pPr>
      <w:r w:rsidRPr="001529C9">
        <w:rPr>
          <w:rFonts w:ascii="David" w:hAnsi="David" w:cs="David" w:hint="cs"/>
          <w:b/>
          <w:bCs/>
          <w:sz w:val="24"/>
          <w:szCs w:val="24"/>
          <w:rtl/>
        </w:rPr>
        <w:t xml:space="preserve">זיהוי מקרים לפי תמונות (משימה </w:t>
      </w:r>
      <w:r>
        <w:rPr>
          <w:rFonts w:ascii="David" w:hAnsi="David" w:cs="David" w:hint="cs"/>
          <w:b/>
          <w:bCs/>
          <w:sz w:val="24"/>
          <w:szCs w:val="24"/>
          <w:rtl/>
        </w:rPr>
        <w:t>4</w:t>
      </w:r>
      <w:r w:rsidRPr="001529C9">
        <w:rPr>
          <w:rFonts w:ascii="David" w:hAnsi="David" w:cs="David" w:hint="cs"/>
          <w:b/>
          <w:bCs/>
          <w:sz w:val="24"/>
          <w:szCs w:val="24"/>
          <w:rtl/>
        </w:rPr>
        <w:t>)</w:t>
      </w:r>
    </w:p>
    <w:p w:rsidR="00114BEA" w:rsidRPr="00B75367" w:rsidRDefault="00114BEA" w:rsidP="00114BEA">
      <w:pPr>
        <w:spacing w:line="360" w:lineRule="auto"/>
        <w:rPr>
          <w:rFonts w:ascii="David" w:hAnsi="David" w:cs="David"/>
          <w:sz w:val="24"/>
          <w:szCs w:val="24"/>
          <w:rtl/>
        </w:rPr>
      </w:pPr>
      <w:r>
        <w:rPr>
          <w:rFonts w:ascii="David" w:hAnsi="David" w:cs="David" w:hint="cs"/>
          <w:sz w:val="24"/>
          <w:szCs w:val="24"/>
          <w:rtl/>
        </w:rPr>
        <w:t>התלמידים יזהו את המקרים השונים המתוארים באמצעות ציורים, ויכתבו איזו פעולה אסורה בשבת ואיזו מותרת.</w:t>
      </w:r>
    </w:p>
    <w:p w:rsidR="00114BEA" w:rsidRPr="001529C9" w:rsidRDefault="00114BEA" w:rsidP="00114BEA">
      <w:pPr>
        <w:spacing w:after="120" w:line="360" w:lineRule="auto"/>
        <w:rPr>
          <w:rFonts w:ascii="David" w:hAnsi="David" w:cs="David"/>
          <w:sz w:val="24"/>
          <w:szCs w:val="24"/>
          <w:rtl/>
        </w:rPr>
      </w:pPr>
    </w:p>
    <w:p w:rsidR="00114BEA" w:rsidRPr="00126BB1" w:rsidRDefault="00114BEA" w:rsidP="00114BEA">
      <w:pPr>
        <w:spacing w:after="120" w:line="360" w:lineRule="auto"/>
        <w:rPr>
          <w:rFonts w:ascii="David" w:hAnsi="David" w:cs="David"/>
          <w:sz w:val="24"/>
          <w:szCs w:val="24"/>
          <w:rtl/>
        </w:rPr>
      </w:pPr>
      <w:r w:rsidRPr="00126BB1">
        <w:rPr>
          <w:rFonts w:ascii="David" w:hAnsi="David" w:cs="David"/>
          <w:sz w:val="24"/>
          <w:szCs w:val="24"/>
          <w:highlight w:val="green"/>
          <w:rtl/>
        </w:rPr>
        <w:t>משמעות</w:t>
      </w:r>
    </w:p>
    <w:p w:rsidR="00114BEA" w:rsidRPr="00126BB1" w:rsidRDefault="00114BEA" w:rsidP="00114BEA">
      <w:pPr>
        <w:spacing w:line="360" w:lineRule="auto"/>
        <w:rPr>
          <w:rFonts w:ascii="David" w:hAnsi="David" w:cs="David"/>
          <w:sz w:val="24"/>
          <w:szCs w:val="24"/>
          <w:rtl/>
        </w:rPr>
      </w:pPr>
      <w:r w:rsidRPr="00126BB1">
        <w:rPr>
          <w:rFonts w:ascii="David" w:hAnsi="David" w:cs="David"/>
          <w:sz w:val="24"/>
          <w:szCs w:val="24"/>
          <w:rtl/>
        </w:rPr>
        <w:t xml:space="preserve">בסיפא של המשנה לומדים שילד שעדיין לא הגיע לגיל מצוות אך כבר מסוגל לנענע את ארבעת המינים – חייב בנטילתם. </w:t>
      </w:r>
      <w:r>
        <w:rPr>
          <w:rFonts w:ascii="David" w:hAnsi="David" w:cs="David" w:hint="cs"/>
          <w:sz w:val="24"/>
          <w:szCs w:val="24"/>
          <w:rtl/>
        </w:rPr>
        <w:t xml:space="preserve">דבר זה נועד </w:t>
      </w:r>
      <w:r>
        <w:rPr>
          <w:rFonts w:ascii="David" w:hAnsi="David" w:cs="David"/>
          <w:sz w:val="24"/>
          <w:szCs w:val="24"/>
          <w:rtl/>
        </w:rPr>
        <w:t xml:space="preserve"> כדי להרגיל</w:t>
      </w:r>
      <w:r w:rsidRPr="00126BB1">
        <w:rPr>
          <w:rFonts w:ascii="David" w:hAnsi="David" w:cs="David"/>
          <w:sz w:val="24"/>
          <w:szCs w:val="24"/>
          <w:rtl/>
        </w:rPr>
        <w:t xml:space="preserve"> </w:t>
      </w:r>
      <w:r>
        <w:rPr>
          <w:rFonts w:ascii="David" w:hAnsi="David" w:cs="David" w:hint="cs"/>
          <w:sz w:val="24"/>
          <w:szCs w:val="24"/>
          <w:rtl/>
        </w:rPr>
        <w:t>את הילדים ל</w:t>
      </w:r>
      <w:r w:rsidRPr="00126BB1">
        <w:rPr>
          <w:rFonts w:ascii="David" w:hAnsi="David" w:cs="David"/>
          <w:sz w:val="24"/>
          <w:szCs w:val="24"/>
          <w:rtl/>
        </w:rPr>
        <w:t>מצוות</w:t>
      </w:r>
      <w:r>
        <w:rPr>
          <w:rFonts w:ascii="David" w:hAnsi="David" w:cs="David" w:hint="cs"/>
          <w:sz w:val="24"/>
          <w:szCs w:val="24"/>
          <w:rtl/>
        </w:rPr>
        <w:t xml:space="preserve"> ולחבב אותן עליהם</w:t>
      </w:r>
      <w:r w:rsidRPr="00126BB1">
        <w:rPr>
          <w:rFonts w:ascii="David" w:hAnsi="David" w:cs="David"/>
          <w:sz w:val="24"/>
          <w:szCs w:val="24"/>
          <w:rtl/>
        </w:rPr>
        <w:t xml:space="preserve">. </w:t>
      </w:r>
      <w:r>
        <w:rPr>
          <w:rFonts w:ascii="David" w:hAnsi="David" w:cs="David" w:hint="cs"/>
          <w:sz w:val="24"/>
          <w:szCs w:val="24"/>
          <w:rtl/>
        </w:rPr>
        <w:t>כל מצווה שחכמים חייבו את הקטן לקיים היא רק מהרגע בו הוא כבר מבין את המצווה ויודע כיצד לקיים אותה. לכן בנטילת לולב החיוב יהיה רק מהזמן בו הקטן כבר יודע כיצד ליטול את הלולב ולנענע אותו. ביחידה נבקש מהתלמידים למנות מצוות נוספות שגם ילד שאינו בגיל מצוות כבר מקיים (משימה 7).</w:t>
      </w:r>
      <w:r w:rsidRPr="00126BB1">
        <w:rPr>
          <w:rFonts w:ascii="David" w:hAnsi="David" w:cs="David"/>
          <w:sz w:val="24"/>
          <w:szCs w:val="24"/>
          <w:rtl/>
        </w:rPr>
        <w:t xml:space="preserve"> </w:t>
      </w:r>
    </w:p>
    <w:p w:rsidR="00114BEA" w:rsidRPr="00126BB1" w:rsidRDefault="00114BEA" w:rsidP="00114BEA">
      <w:pPr>
        <w:spacing w:line="360" w:lineRule="auto"/>
        <w:rPr>
          <w:rFonts w:ascii="David" w:hAnsi="David" w:cs="David"/>
          <w:sz w:val="24"/>
          <w:szCs w:val="24"/>
          <w:rtl/>
        </w:rPr>
      </w:pPr>
    </w:p>
    <w:p w:rsidR="00114BEA" w:rsidRPr="00126BB1" w:rsidRDefault="00114BEA" w:rsidP="00114BEA">
      <w:pPr>
        <w:spacing w:after="120" w:line="360" w:lineRule="auto"/>
        <w:outlineLvl w:val="0"/>
        <w:rPr>
          <w:rFonts w:ascii="David" w:hAnsi="David" w:cs="David"/>
          <w:sz w:val="24"/>
          <w:szCs w:val="24"/>
          <w:rtl/>
        </w:rPr>
      </w:pPr>
      <w:r w:rsidRPr="00126BB1">
        <w:rPr>
          <w:rFonts w:ascii="David" w:hAnsi="David" w:cs="David"/>
          <w:sz w:val="24"/>
          <w:szCs w:val="24"/>
          <w:highlight w:val="green"/>
          <w:rtl/>
        </w:rPr>
        <w:t>מטרות</w:t>
      </w:r>
    </w:p>
    <w:p w:rsidR="00114BEA" w:rsidRPr="00126BB1" w:rsidRDefault="00114BEA" w:rsidP="00114BEA">
      <w:pPr>
        <w:pStyle w:val="aa"/>
        <w:numPr>
          <w:ilvl w:val="0"/>
          <w:numId w:val="10"/>
        </w:numPr>
        <w:spacing w:after="120" w:line="360" w:lineRule="auto"/>
        <w:rPr>
          <w:rFonts w:ascii="David" w:hAnsi="David" w:cs="David"/>
          <w:sz w:val="24"/>
          <w:szCs w:val="24"/>
          <w:rtl/>
        </w:rPr>
      </w:pPr>
      <w:r w:rsidRPr="00126BB1">
        <w:rPr>
          <w:rFonts w:ascii="David" w:hAnsi="David" w:cs="David"/>
          <w:sz w:val="24"/>
          <w:szCs w:val="24"/>
          <w:rtl/>
        </w:rPr>
        <w:lastRenderedPageBreak/>
        <w:t xml:space="preserve">הישג </w:t>
      </w:r>
      <w:r w:rsidRPr="00126BB1">
        <w:rPr>
          <w:rFonts w:ascii="David" w:hAnsi="David" w:cs="David"/>
          <w:b/>
          <w:bCs/>
          <w:sz w:val="24"/>
          <w:szCs w:val="24"/>
          <w:rtl/>
        </w:rPr>
        <w:t>מבנה</w:t>
      </w:r>
      <w:r w:rsidRPr="00126BB1">
        <w:rPr>
          <w:rFonts w:ascii="David" w:hAnsi="David" w:cs="David"/>
          <w:sz w:val="24"/>
          <w:szCs w:val="24"/>
          <w:rtl/>
        </w:rPr>
        <w:t xml:space="preserve">: התלמיד יארגן את המשנה לפי רכיבי </w:t>
      </w:r>
      <w:proofErr w:type="spellStart"/>
      <w:r w:rsidRPr="00126BB1">
        <w:rPr>
          <w:rFonts w:ascii="David" w:hAnsi="David" w:cs="David"/>
          <w:sz w:val="24"/>
          <w:szCs w:val="24"/>
          <w:rtl/>
        </w:rPr>
        <w:t>הכאמד"ט</w:t>
      </w:r>
      <w:proofErr w:type="spellEnd"/>
      <w:r w:rsidRPr="00126BB1">
        <w:rPr>
          <w:rFonts w:ascii="David" w:hAnsi="David" w:cs="David"/>
          <w:sz w:val="24"/>
          <w:szCs w:val="24"/>
          <w:rtl/>
        </w:rPr>
        <w:t>, יזהה את הרישא של המשנה ואת הסיפא שלה וכן את מילת הדין בסיפא.</w:t>
      </w:r>
    </w:p>
    <w:p w:rsidR="00114BEA" w:rsidRPr="00126BB1" w:rsidRDefault="00114BEA" w:rsidP="00114BEA">
      <w:pPr>
        <w:pStyle w:val="aa"/>
        <w:numPr>
          <w:ilvl w:val="0"/>
          <w:numId w:val="10"/>
        </w:numPr>
        <w:spacing w:after="120" w:line="360" w:lineRule="auto"/>
        <w:rPr>
          <w:rFonts w:ascii="David" w:hAnsi="David" w:cs="David"/>
          <w:sz w:val="24"/>
          <w:szCs w:val="24"/>
          <w:rtl/>
        </w:rPr>
      </w:pPr>
      <w:r w:rsidRPr="00126BB1">
        <w:rPr>
          <w:rFonts w:ascii="David" w:hAnsi="David" w:cs="David"/>
          <w:sz w:val="24"/>
          <w:szCs w:val="24"/>
          <w:rtl/>
        </w:rPr>
        <w:t xml:space="preserve">הישג </w:t>
      </w:r>
      <w:r w:rsidRPr="00126BB1">
        <w:rPr>
          <w:rFonts w:ascii="David" w:hAnsi="David" w:cs="David"/>
          <w:b/>
          <w:bCs/>
          <w:sz w:val="24"/>
          <w:szCs w:val="24"/>
          <w:rtl/>
        </w:rPr>
        <w:t>לשון חכמים</w:t>
      </w:r>
      <w:r w:rsidRPr="00126BB1">
        <w:rPr>
          <w:rFonts w:ascii="David" w:hAnsi="David" w:cs="David"/>
          <w:sz w:val="24"/>
          <w:szCs w:val="24"/>
          <w:rtl/>
        </w:rPr>
        <w:t>: התלמיד יכיר את המושגים 'מחזירתו', 'מועד', 'מחליפין'.</w:t>
      </w:r>
    </w:p>
    <w:p w:rsidR="00114BEA" w:rsidRPr="00126BB1" w:rsidRDefault="00114BEA" w:rsidP="00114BEA">
      <w:pPr>
        <w:pStyle w:val="aa"/>
        <w:numPr>
          <w:ilvl w:val="0"/>
          <w:numId w:val="10"/>
        </w:numPr>
        <w:spacing w:after="120" w:line="360" w:lineRule="auto"/>
        <w:rPr>
          <w:rFonts w:ascii="David" w:hAnsi="David" w:cs="David"/>
          <w:sz w:val="24"/>
          <w:szCs w:val="24"/>
          <w:rtl/>
        </w:rPr>
      </w:pPr>
      <w:r w:rsidRPr="00126BB1">
        <w:rPr>
          <w:rFonts w:ascii="David" w:hAnsi="David" w:cs="David"/>
          <w:sz w:val="24"/>
          <w:szCs w:val="24"/>
          <w:rtl/>
        </w:rPr>
        <w:t xml:space="preserve">הישג </w:t>
      </w:r>
      <w:r w:rsidRPr="00126BB1">
        <w:rPr>
          <w:rFonts w:ascii="David" w:hAnsi="David" w:cs="David"/>
          <w:b/>
          <w:bCs/>
          <w:sz w:val="24"/>
          <w:szCs w:val="24"/>
          <w:rtl/>
        </w:rPr>
        <w:t>תוכן</w:t>
      </w:r>
      <w:r w:rsidRPr="00126BB1">
        <w:rPr>
          <w:rFonts w:ascii="David" w:hAnsi="David" w:cs="David"/>
          <w:sz w:val="24"/>
          <w:szCs w:val="24"/>
          <w:rtl/>
        </w:rPr>
        <w:t>: התלמיד ידע מהו איסור זורע ומהי השקיית זרעים.</w:t>
      </w:r>
    </w:p>
    <w:p w:rsidR="00114BEA" w:rsidRPr="00126BB1" w:rsidRDefault="00114BEA" w:rsidP="00114BEA">
      <w:pPr>
        <w:pStyle w:val="aa"/>
        <w:numPr>
          <w:ilvl w:val="0"/>
          <w:numId w:val="10"/>
        </w:numPr>
        <w:spacing w:after="120" w:line="360" w:lineRule="auto"/>
        <w:rPr>
          <w:rFonts w:ascii="David" w:hAnsi="David" w:cs="David"/>
          <w:sz w:val="24"/>
          <w:szCs w:val="24"/>
          <w:rtl/>
        </w:rPr>
      </w:pPr>
      <w:r w:rsidRPr="00126BB1">
        <w:rPr>
          <w:rFonts w:ascii="David" w:hAnsi="David" w:cs="David"/>
          <w:sz w:val="24"/>
          <w:szCs w:val="24"/>
          <w:rtl/>
        </w:rPr>
        <w:t xml:space="preserve">הישג </w:t>
      </w:r>
      <w:r w:rsidRPr="00126BB1">
        <w:rPr>
          <w:rFonts w:ascii="David" w:hAnsi="David" w:cs="David"/>
          <w:b/>
          <w:bCs/>
          <w:sz w:val="24"/>
          <w:szCs w:val="24"/>
          <w:rtl/>
        </w:rPr>
        <w:t>תושב"ע</w:t>
      </w:r>
      <w:r w:rsidRPr="00126BB1">
        <w:rPr>
          <w:rFonts w:ascii="David" w:hAnsi="David" w:cs="David"/>
          <w:sz w:val="24"/>
          <w:szCs w:val="24"/>
          <w:rtl/>
        </w:rPr>
        <w:t>: התלמיד ידע להבחין באיסורי המלאכה בין שבת, יום טוב וחול המועד וכן בחובת קטן שהגיע לחינוך לקיים מצוות מדרבנן.</w:t>
      </w:r>
    </w:p>
    <w:p w:rsidR="00114BEA" w:rsidRPr="00126BB1" w:rsidRDefault="00114BEA" w:rsidP="00114BEA">
      <w:pPr>
        <w:pStyle w:val="aa"/>
        <w:numPr>
          <w:ilvl w:val="0"/>
          <w:numId w:val="10"/>
        </w:numPr>
        <w:spacing w:after="120" w:line="360" w:lineRule="auto"/>
        <w:rPr>
          <w:rFonts w:ascii="David" w:hAnsi="David" w:cs="David"/>
          <w:sz w:val="24"/>
          <w:szCs w:val="24"/>
          <w:rtl/>
        </w:rPr>
      </w:pPr>
      <w:r w:rsidRPr="00126BB1">
        <w:rPr>
          <w:rFonts w:ascii="David" w:hAnsi="David" w:cs="David"/>
          <w:sz w:val="24"/>
          <w:szCs w:val="24"/>
          <w:rtl/>
        </w:rPr>
        <w:t xml:space="preserve">הישג </w:t>
      </w:r>
      <w:r w:rsidRPr="00126BB1">
        <w:rPr>
          <w:rFonts w:ascii="David" w:hAnsi="David" w:cs="David"/>
          <w:b/>
          <w:bCs/>
          <w:sz w:val="24"/>
          <w:szCs w:val="24"/>
          <w:rtl/>
        </w:rPr>
        <w:t>הבנה ופרשנות</w:t>
      </w:r>
      <w:r w:rsidRPr="00126BB1">
        <w:rPr>
          <w:rFonts w:ascii="David" w:hAnsi="David" w:cs="David"/>
          <w:sz w:val="24"/>
          <w:szCs w:val="24"/>
          <w:rtl/>
        </w:rPr>
        <w:t>: התלמיד יכיר את המנהג להניח את ארבעת המינים בכלי עם מים כדי לשמור על טריותם.</w:t>
      </w:r>
    </w:p>
    <w:p w:rsidR="006D07BF" w:rsidRPr="00114BEA" w:rsidRDefault="00114BEA" w:rsidP="00114BEA">
      <w:pPr>
        <w:pStyle w:val="aa"/>
        <w:numPr>
          <w:ilvl w:val="0"/>
          <w:numId w:val="10"/>
        </w:numPr>
        <w:spacing w:after="120" w:line="360" w:lineRule="auto"/>
        <w:rPr>
          <w:rFonts w:ascii="David" w:hAnsi="David" w:cs="David"/>
          <w:sz w:val="24"/>
          <w:szCs w:val="24"/>
        </w:rPr>
      </w:pPr>
      <w:r w:rsidRPr="00126BB1">
        <w:rPr>
          <w:rFonts w:ascii="David" w:hAnsi="David" w:cs="David"/>
          <w:sz w:val="24"/>
          <w:szCs w:val="24"/>
          <w:rtl/>
        </w:rPr>
        <w:t xml:space="preserve">הישג </w:t>
      </w:r>
      <w:r w:rsidRPr="00126BB1">
        <w:rPr>
          <w:rFonts w:ascii="David" w:hAnsi="David" w:cs="David"/>
          <w:b/>
          <w:bCs/>
          <w:sz w:val="24"/>
          <w:szCs w:val="24"/>
          <w:rtl/>
        </w:rPr>
        <w:t>תורת חיים</w:t>
      </w:r>
      <w:r w:rsidRPr="00126BB1">
        <w:rPr>
          <w:rFonts w:ascii="David" w:hAnsi="David" w:cs="David"/>
          <w:sz w:val="24"/>
          <w:szCs w:val="24"/>
          <w:rtl/>
        </w:rPr>
        <w:t>: התלמיד יכיר בחשיבות קיום המצוות כבר מגיל צעיר.</w:t>
      </w:r>
      <w:r w:rsidR="002B1C39" w:rsidRPr="00114BEA">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114BEA"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97" w:rsidRDefault="008D3A97" w:rsidP="00284F1C">
      <w:pPr>
        <w:spacing w:after="0" w:line="240" w:lineRule="auto"/>
      </w:pPr>
      <w:r>
        <w:separator/>
      </w:r>
    </w:p>
  </w:endnote>
  <w:endnote w:type="continuationSeparator" w:id="0">
    <w:p w:rsidR="008D3A97" w:rsidRDefault="008D3A97"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97" w:rsidRDefault="008D3A97" w:rsidP="00284F1C">
      <w:pPr>
        <w:spacing w:after="0" w:line="240" w:lineRule="auto"/>
      </w:pPr>
      <w:r>
        <w:separator/>
      </w:r>
    </w:p>
  </w:footnote>
  <w:footnote w:type="continuationSeparator" w:id="0">
    <w:p w:rsidR="008D3A97" w:rsidRDefault="008D3A97"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3"/>
  </w:num>
  <w:num w:numId="6">
    <w:abstractNumId w:val="4"/>
  </w:num>
  <w:num w:numId="7">
    <w:abstractNumId w:val="7"/>
  </w:num>
  <w:num w:numId="8">
    <w:abstractNumId w:val="0"/>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4BEA"/>
    <w:rsid w:val="00117023"/>
    <w:rsid w:val="00121F5E"/>
    <w:rsid w:val="00123EFB"/>
    <w:rsid w:val="00126050"/>
    <w:rsid w:val="001574B4"/>
    <w:rsid w:val="001A5CA9"/>
    <w:rsid w:val="001B72E3"/>
    <w:rsid w:val="001C3174"/>
    <w:rsid w:val="0021483B"/>
    <w:rsid w:val="00235B45"/>
    <w:rsid w:val="00242980"/>
    <w:rsid w:val="00284F1C"/>
    <w:rsid w:val="002B1C39"/>
    <w:rsid w:val="002B595E"/>
    <w:rsid w:val="002D0F07"/>
    <w:rsid w:val="00310D43"/>
    <w:rsid w:val="0032610B"/>
    <w:rsid w:val="00374A92"/>
    <w:rsid w:val="003B7CB0"/>
    <w:rsid w:val="003D2C9A"/>
    <w:rsid w:val="003D7674"/>
    <w:rsid w:val="004111BF"/>
    <w:rsid w:val="00417688"/>
    <w:rsid w:val="0044080E"/>
    <w:rsid w:val="00481A0B"/>
    <w:rsid w:val="004B5ACC"/>
    <w:rsid w:val="004F5D8B"/>
    <w:rsid w:val="004F65FB"/>
    <w:rsid w:val="00535C72"/>
    <w:rsid w:val="005979AC"/>
    <w:rsid w:val="005B528A"/>
    <w:rsid w:val="005D67DC"/>
    <w:rsid w:val="006540D5"/>
    <w:rsid w:val="006969CB"/>
    <w:rsid w:val="006A2844"/>
    <w:rsid w:val="006B5BCE"/>
    <w:rsid w:val="007C37FF"/>
    <w:rsid w:val="008476B9"/>
    <w:rsid w:val="00876C00"/>
    <w:rsid w:val="008D3A97"/>
    <w:rsid w:val="00902F05"/>
    <w:rsid w:val="0090670B"/>
    <w:rsid w:val="009B41FE"/>
    <w:rsid w:val="009D4263"/>
    <w:rsid w:val="009F16E3"/>
    <w:rsid w:val="00A204FE"/>
    <w:rsid w:val="00AB0E34"/>
    <w:rsid w:val="00BD4A89"/>
    <w:rsid w:val="00C02E81"/>
    <w:rsid w:val="00C14419"/>
    <w:rsid w:val="00C76634"/>
    <w:rsid w:val="00CD0EB4"/>
    <w:rsid w:val="00CD57F7"/>
    <w:rsid w:val="00D439D0"/>
    <w:rsid w:val="00D53F7F"/>
    <w:rsid w:val="00DD1FB2"/>
    <w:rsid w:val="00E940EF"/>
    <w:rsid w:val="00ED2608"/>
    <w:rsid w:val="00EF1EEE"/>
    <w:rsid w:val="00F16493"/>
    <w:rsid w:val="00F24C13"/>
    <w:rsid w:val="00F610D6"/>
    <w:rsid w:val="00FB770A"/>
    <w:rsid w:val="00FC5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2659</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2016-06-26T14:04:00Z</dcterms:created>
  <dcterms:modified xsi:type="dcterms:W3CDTF">2016-06-26T14:05:00Z</dcterms:modified>
</cp:coreProperties>
</file>