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C115F6">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C115F6">
                              <w:rPr>
                                <w:rFonts w:hint="cs"/>
                                <w:b/>
                                <w:bCs/>
                                <w:color w:val="FFFFFF" w:themeColor="background1"/>
                                <w:sz w:val="40"/>
                                <w:szCs w:val="40"/>
                                <w:rtl/>
                              </w:rPr>
                              <w:t>30</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C115F6">
                              <w:rPr>
                                <w:rFonts w:hint="cs"/>
                                <w:b/>
                                <w:bCs/>
                                <w:color w:val="FFFFFF" w:themeColor="background1"/>
                                <w:sz w:val="40"/>
                                <w:szCs w:val="40"/>
                                <w:rtl/>
                              </w:rPr>
                              <w:t xml:space="preserve"> משנה 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C115F6">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C115F6">
                        <w:rPr>
                          <w:rFonts w:hint="cs"/>
                          <w:b/>
                          <w:bCs/>
                          <w:color w:val="FFFFFF" w:themeColor="background1"/>
                          <w:sz w:val="40"/>
                          <w:szCs w:val="40"/>
                          <w:rtl/>
                        </w:rPr>
                        <w:t>30</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C115F6">
                        <w:rPr>
                          <w:rFonts w:hint="cs"/>
                          <w:b/>
                          <w:bCs/>
                          <w:color w:val="FFFFFF" w:themeColor="background1"/>
                          <w:sz w:val="40"/>
                          <w:szCs w:val="40"/>
                          <w:rtl/>
                        </w:rPr>
                        <w:t xml:space="preserve"> משנה ג</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C115F6" w:rsidRPr="00C115F6" w:rsidRDefault="00C115F6" w:rsidP="00C115F6">
      <w:pPr>
        <w:spacing w:before="240" w:after="240" w:line="360" w:lineRule="auto"/>
        <w:jc w:val="center"/>
        <w:rPr>
          <w:rFonts w:ascii="David" w:eastAsia="Arial Unicode MS" w:hAnsi="David" w:cs="David"/>
          <w:b/>
          <w:bCs/>
          <w:sz w:val="32"/>
          <w:szCs w:val="32"/>
          <w:u w:val="single"/>
          <w:rtl/>
        </w:rPr>
      </w:pPr>
      <w:r w:rsidRPr="00C115F6">
        <w:rPr>
          <w:rFonts w:ascii="David" w:eastAsia="Arial Unicode MS" w:hAnsi="David" w:cs="David"/>
          <w:b/>
          <w:bCs/>
          <w:sz w:val="32"/>
          <w:szCs w:val="32"/>
          <w:u w:val="single"/>
          <w:rtl/>
        </w:rPr>
        <w:t>תוכן הברכות הנוספות בתפילת התענית</w:t>
      </w:r>
    </w:p>
    <w:p w:rsidR="00C115F6" w:rsidRDefault="00C115F6" w:rsidP="00C115F6">
      <w:pPr>
        <w:spacing w:after="120" w:line="360" w:lineRule="auto"/>
        <w:rPr>
          <w:rFonts w:ascii="David" w:hAnsi="David" w:cs="David"/>
          <w:sz w:val="24"/>
          <w:szCs w:val="24"/>
          <w:rtl/>
        </w:rPr>
      </w:pPr>
      <w:r>
        <w:rPr>
          <w:rFonts w:ascii="David" w:hAnsi="David" w:cs="David" w:hint="cs"/>
          <w:sz w:val="24"/>
          <w:szCs w:val="24"/>
          <w:rtl/>
        </w:rPr>
        <w:t>משנה זו ממשיכה את רצף המשניות מתחילת הפרק והיא עוסקת בתוכן של שש הברכות הנוספות בימי התענית. המשנה אומרת שכל ברכה מורכבת מלקט פסוקים (זיכרונות ושופרות) או מפרקי תהילים (שאר הברכות). רבי יהודה סובר שאין לומר את פסוקי זיכרונות ושופרות (הנאמרים בראש השנה) אלא לומר במקומם את הפסוקים שאמר שלמה המלך בזמן חנוכת המקדש על הזמנים בהם תהיה בצורת ואת הפסוקים שאמר ירמיהו הנביא על הבצורת ותפילתו לה' שיושיע את עמו.</w:t>
      </w:r>
    </w:p>
    <w:p w:rsidR="00C115F6" w:rsidRPr="00FD7E71" w:rsidRDefault="00C115F6" w:rsidP="00C115F6">
      <w:pPr>
        <w:spacing w:after="120" w:line="360" w:lineRule="auto"/>
        <w:rPr>
          <w:rFonts w:ascii="David" w:hAnsi="David" w:cs="David"/>
          <w:sz w:val="24"/>
          <w:szCs w:val="24"/>
          <w:rtl/>
        </w:rPr>
      </w:pPr>
    </w:p>
    <w:p w:rsidR="00C115F6" w:rsidRPr="00FD7E71" w:rsidRDefault="00C115F6" w:rsidP="00C115F6">
      <w:pPr>
        <w:spacing w:after="120" w:line="360" w:lineRule="auto"/>
        <w:rPr>
          <w:rFonts w:ascii="David" w:hAnsi="David" w:cs="David"/>
          <w:sz w:val="24"/>
          <w:szCs w:val="24"/>
          <w:rtl/>
        </w:rPr>
      </w:pPr>
      <w:r w:rsidRPr="00FD7E71">
        <w:rPr>
          <w:rFonts w:ascii="David" w:hAnsi="David" w:cs="David"/>
          <w:b/>
          <w:bCs/>
          <w:sz w:val="24"/>
          <w:szCs w:val="24"/>
          <w:rtl/>
        </w:rPr>
        <w:t>משך הוראה מומלץ</w:t>
      </w:r>
      <w:r w:rsidRPr="00FD7E71">
        <w:rPr>
          <w:rFonts w:ascii="David" w:hAnsi="David" w:cs="David"/>
          <w:sz w:val="24"/>
          <w:szCs w:val="24"/>
          <w:rtl/>
        </w:rPr>
        <w:t>: שיעור אחד</w:t>
      </w:r>
    </w:p>
    <w:p w:rsidR="00C115F6" w:rsidRPr="00FD7E71" w:rsidRDefault="00C115F6" w:rsidP="00C115F6">
      <w:pPr>
        <w:spacing w:after="120" w:line="360" w:lineRule="auto"/>
        <w:rPr>
          <w:rFonts w:ascii="David" w:hAnsi="David" w:cs="David"/>
          <w:sz w:val="24"/>
          <w:szCs w:val="24"/>
          <w:rtl/>
        </w:rPr>
      </w:pPr>
    </w:p>
    <w:p w:rsidR="00C115F6" w:rsidRPr="00FD7E71" w:rsidRDefault="00C115F6" w:rsidP="00C115F6">
      <w:pPr>
        <w:spacing w:line="360" w:lineRule="auto"/>
        <w:rPr>
          <w:rFonts w:ascii="David" w:hAnsi="David" w:cs="David"/>
          <w:sz w:val="24"/>
          <w:szCs w:val="24"/>
          <w:highlight w:val="green"/>
          <w:rtl/>
        </w:rPr>
      </w:pPr>
      <w:r w:rsidRPr="00FD7E71">
        <w:rPr>
          <w:rFonts w:ascii="David" w:hAnsi="David" w:cs="David"/>
          <w:sz w:val="24"/>
          <w:szCs w:val="24"/>
          <w:highlight w:val="green"/>
          <w:rtl/>
        </w:rPr>
        <w:t>נוסח המשנה</w:t>
      </w:r>
    </w:p>
    <w:p w:rsidR="00C115F6" w:rsidRPr="00FD7E71" w:rsidRDefault="00C115F6" w:rsidP="00C115F6">
      <w:pPr>
        <w:spacing w:after="120" w:line="360" w:lineRule="auto"/>
        <w:rPr>
          <w:rFonts w:ascii="David" w:hAnsi="David" w:cs="David"/>
          <w:b/>
          <w:bCs/>
          <w:sz w:val="24"/>
          <w:szCs w:val="24"/>
          <w:rtl/>
        </w:rPr>
      </w:pPr>
      <w:r w:rsidRPr="00FD7E71">
        <w:rPr>
          <w:rFonts w:ascii="David" w:hAnsi="David" w:cs="David"/>
          <w:b/>
          <w:bCs/>
          <w:sz w:val="24"/>
          <w:szCs w:val="24"/>
          <w:rtl/>
        </w:rPr>
        <w:t>וְאֵלּוּ הֵן</w:t>
      </w:r>
      <w:r w:rsidRPr="00FD7E71">
        <w:rPr>
          <w:rFonts w:ascii="David" w:hAnsi="David" w:cs="David"/>
          <w:b/>
          <w:bCs/>
          <w:sz w:val="24"/>
          <w:szCs w:val="24"/>
        </w:rPr>
        <w:t>:</w:t>
      </w:r>
      <w:r w:rsidRPr="00FD7E71">
        <w:rPr>
          <w:rFonts w:ascii="David" w:hAnsi="David" w:cs="David"/>
          <w:b/>
          <w:bCs/>
          <w:sz w:val="24"/>
          <w:szCs w:val="24"/>
        </w:rPr>
        <w:br/>
      </w:r>
      <w:proofErr w:type="spellStart"/>
      <w:r w:rsidRPr="00FD7E71">
        <w:rPr>
          <w:rFonts w:ascii="David" w:hAnsi="David" w:cs="David"/>
          <w:b/>
          <w:bCs/>
          <w:sz w:val="24"/>
          <w:szCs w:val="24"/>
          <w:rtl/>
        </w:rPr>
        <w:t>זִכְרוֹנוֹת</w:t>
      </w:r>
      <w:proofErr w:type="spellEnd"/>
      <w:r w:rsidRPr="00FD7E71">
        <w:rPr>
          <w:rFonts w:ascii="David" w:hAnsi="David" w:cs="David"/>
          <w:b/>
          <w:bCs/>
          <w:sz w:val="24"/>
          <w:szCs w:val="24"/>
          <w:rtl/>
        </w:rPr>
        <w:t xml:space="preserve"> </w:t>
      </w:r>
    </w:p>
    <w:p w:rsidR="00C115F6" w:rsidRPr="00FD7E71" w:rsidRDefault="00C115F6" w:rsidP="00C115F6">
      <w:pPr>
        <w:spacing w:after="120" w:line="360" w:lineRule="auto"/>
        <w:rPr>
          <w:rFonts w:ascii="David" w:hAnsi="David" w:cs="David"/>
          <w:b/>
          <w:bCs/>
          <w:sz w:val="24"/>
          <w:szCs w:val="24"/>
        </w:rPr>
      </w:pPr>
      <w:r w:rsidRPr="00FD7E71">
        <w:rPr>
          <w:rFonts w:ascii="David" w:hAnsi="David" w:cs="David"/>
          <w:b/>
          <w:bCs/>
          <w:sz w:val="24"/>
          <w:szCs w:val="24"/>
          <w:rtl/>
        </w:rPr>
        <w:t>וְשׁוֹפָרוֹת</w:t>
      </w:r>
      <w:r w:rsidRPr="00FD7E71">
        <w:rPr>
          <w:rFonts w:ascii="David" w:hAnsi="David" w:cs="David"/>
          <w:b/>
          <w:bCs/>
          <w:sz w:val="24"/>
          <w:szCs w:val="24"/>
        </w:rPr>
        <w:t>,</w:t>
      </w:r>
      <w:r w:rsidRPr="00FD7E71">
        <w:rPr>
          <w:rFonts w:ascii="David" w:hAnsi="David" w:cs="David"/>
          <w:b/>
          <w:bCs/>
          <w:sz w:val="24"/>
          <w:szCs w:val="24"/>
        </w:rPr>
        <w:br/>
        <w:t>"</w:t>
      </w:r>
      <w:r w:rsidRPr="00FD7E71">
        <w:rPr>
          <w:rFonts w:ascii="David" w:hAnsi="David" w:cs="David"/>
          <w:b/>
          <w:bCs/>
          <w:sz w:val="24"/>
          <w:szCs w:val="24"/>
          <w:rtl/>
        </w:rPr>
        <w:t>אֶל ה' בַּצָּרָתָה לִּי קָרָאתִי וַיַּעֲנֵנִי</w:t>
      </w:r>
      <w:r w:rsidRPr="00FD7E71">
        <w:rPr>
          <w:rFonts w:ascii="David" w:hAnsi="David" w:cs="David"/>
          <w:b/>
          <w:bCs/>
          <w:sz w:val="24"/>
          <w:szCs w:val="24"/>
        </w:rPr>
        <w:t>"</w:t>
      </w:r>
      <w:r w:rsidRPr="00FD7E71">
        <w:rPr>
          <w:rFonts w:ascii="David" w:hAnsi="David" w:cs="David"/>
          <w:b/>
          <w:bCs/>
          <w:sz w:val="24"/>
          <w:szCs w:val="24"/>
          <w:rtl/>
        </w:rPr>
        <w:t xml:space="preserve"> (תהילים </w:t>
      </w:r>
      <w:proofErr w:type="spellStart"/>
      <w:r w:rsidRPr="00FD7E71">
        <w:rPr>
          <w:rFonts w:ascii="David" w:hAnsi="David" w:cs="David"/>
          <w:b/>
          <w:bCs/>
          <w:sz w:val="24"/>
          <w:szCs w:val="24"/>
          <w:rtl/>
        </w:rPr>
        <w:t>קכ</w:t>
      </w:r>
      <w:proofErr w:type="spellEnd"/>
      <w:r w:rsidRPr="00FD7E71">
        <w:rPr>
          <w:rFonts w:ascii="David" w:hAnsi="David" w:cs="David"/>
          <w:b/>
          <w:bCs/>
          <w:sz w:val="24"/>
          <w:szCs w:val="24"/>
          <w:rtl/>
        </w:rPr>
        <w:t>),</w:t>
      </w:r>
      <w:r w:rsidRPr="00FD7E71">
        <w:rPr>
          <w:rFonts w:ascii="David" w:hAnsi="David" w:cs="David"/>
          <w:b/>
          <w:bCs/>
          <w:sz w:val="24"/>
          <w:szCs w:val="24"/>
        </w:rPr>
        <w:br/>
        <w:t>"</w:t>
      </w:r>
      <w:r w:rsidRPr="00FD7E71">
        <w:rPr>
          <w:rFonts w:ascii="David" w:hAnsi="David" w:cs="David"/>
          <w:b/>
          <w:bCs/>
          <w:sz w:val="24"/>
          <w:szCs w:val="24"/>
          <w:rtl/>
        </w:rPr>
        <w:t>אֶשָּׂא עֵינַי אֶל הֶהָרִים</w:t>
      </w:r>
      <w:r w:rsidRPr="00FD7E71">
        <w:rPr>
          <w:rFonts w:ascii="David" w:hAnsi="David" w:cs="David"/>
          <w:b/>
          <w:bCs/>
          <w:sz w:val="24"/>
          <w:szCs w:val="24"/>
        </w:rPr>
        <w:t xml:space="preserve"> "</w:t>
      </w:r>
      <w:r w:rsidRPr="00FD7E71">
        <w:rPr>
          <w:rFonts w:ascii="David" w:hAnsi="David" w:cs="David"/>
          <w:b/>
          <w:bCs/>
          <w:sz w:val="24"/>
          <w:szCs w:val="24"/>
          <w:rtl/>
        </w:rPr>
        <w:t xml:space="preserve">(תהילים </w:t>
      </w:r>
      <w:proofErr w:type="spellStart"/>
      <w:r w:rsidRPr="00FD7E71">
        <w:rPr>
          <w:rFonts w:ascii="David" w:hAnsi="David" w:cs="David"/>
          <w:b/>
          <w:bCs/>
          <w:sz w:val="24"/>
          <w:szCs w:val="24"/>
          <w:rtl/>
        </w:rPr>
        <w:t>קכא</w:t>
      </w:r>
      <w:proofErr w:type="spellEnd"/>
      <w:r w:rsidRPr="00FD7E71">
        <w:rPr>
          <w:rFonts w:ascii="David" w:hAnsi="David" w:cs="David"/>
          <w:b/>
          <w:bCs/>
          <w:sz w:val="24"/>
          <w:szCs w:val="24"/>
          <w:rtl/>
        </w:rPr>
        <w:t>),</w:t>
      </w:r>
      <w:r w:rsidRPr="00FD7E71">
        <w:rPr>
          <w:rFonts w:ascii="David" w:hAnsi="David" w:cs="David"/>
          <w:b/>
          <w:bCs/>
          <w:sz w:val="24"/>
          <w:szCs w:val="24"/>
        </w:rPr>
        <w:br/>
        <w:t>"</w:t>
      </w:r>
      <w:r w:rsidRPr="00FD7E71">
        <w:rPr>
          <w:rFonts w:ascii="David" w:hAnsi="David" w:cs="David"/>
          <w:b/>
          <w:bCs/>
          <w:sz w:val="24"/>
          <w:szCs w:val="24"/>
          <w:rtl/>
        </w:rPr>
        <w:t xml:space="preserve">מִמַּעֲמַקִּים </w:t>
      </w:r>
      <w:proofErr w:type="spellStart"/>
      <w:r w:rsidRPr="00FD7E71">
        <w:rPr>
          <w:rFonts w:ascii="David" w:hAnsi="David" w:cs="David"/>
          <w:b/>
          <w:bCs/>
          <w:sz w:val="24"/>
          <w:szCs w:val="24"/>
          <w:rtl/>
        </w:rPr>
        <w:t>קְרָאתִיך</w:t>
      </w:r>
      <w:proofErr w:type="spellEnd"/>
      <w:r w:rsidRPr="00FD7E71">
        <w:rPr>
          <w:rFonts w:ascii="David" w:hAnsi="David" w:cs="David"/>
          <w:b/>
          <w:bCs/>
          <w:sz w:val="24"/>
          <w:szCs w:val="24"/>
          <w:rtl/>
        </w:rPr>
        <w:t>ָ ה'</w:t>
      </w:r>
      <w:r w:rsidRPr="00FD7E71">
        <w:rPr>
          <w:rFonts w:ascii="David" w:hAnsi="David" w:cs="David"/>
          <w:b/>
          <w:bCs/>
          <w:sz w:val="24"/>
          <w:szCs w:val="24"/>
        </w:rPr>
        <w:t xml:space="preserve"> </w:t>
      </w:r>
      <w:r w:rsidRPr="00FD7E71">
        <w:rPr>
          <w:rFonts w:ascii="David" w:hAnsi="David" w:cs="David"/>
          <w:b/>
          <w:bCs/>
          <w:sz w:val="24"/>
          <w:szCs w:val="24"/>
          <w:rtl/>
        </w:rPr>
        <w:t>"</w:t>
      </w:r>
      <w:r w:rsidRPr="00FD7E71">
        <w:rPr>
          <w:rFonts w:ascii="David" w:hAnsi="David" w:cs="David"/>
          <w:b/>
          <w:bCs/>
          <w:sz w:val="24"/>
          <w:szCs w:val="24"/>
        </w:rPr>
        <w:t xml:space="preserve"> </w:t>
      </w:r>
      <w:r w:rsidRPr="00FD7E71">
        <w:rPr>
          <w:rFonts w:ascii="David" w:hAnsi="David" w:cs="David"/>
          <w:b/>
          <w:bCs/>
          <w:sz w:val="24"/>
          <w:szCs w:val="24"/>
          <w:rtl/>
        </w:rPr>
        <w:t>(תהילים קל),</w:t>
      </w:r>
      <w:r w:rsidRPr="00FD7E71">
        <w:rPr>
          <w:rFonts w:ascii="David" w:hAnsi="David" w:cs="David"/>
          <w:b/>
          <w:bCs/>
          <w:sz w:val="24"/>
          <w:szCs w:val="24"/>
        </w:rPr>
        <w:br/>
        <w:t>"</w:t>
      </w:r>
      <w:r w:rsidRPr="00FD7E71">
        <w:rPr>
          <w:rFonts w:ascii="David" w:hAnsi="David" w:cs="David"/>
          <w:b/>
          <w:bCs/>
          <w:sz w:val="24"/>
          <w:szCs w:val="24"/>
          <w:rtl/>
        </w:rPr>
        <w:t xml:space="preserve">תְּפִלָּה לְעָנִי כִי </w:t>
      </w:r>
      <w:proofErr w:type="spellStart"/>
      <w:r w:rsidRPr="00FD7E71">
        <w:rPr>
          <w:rFonts w:ascii="David" w:hAnsi="David" w:cs="David"/>
          <w:b/>
          <w:bCs/>
          <w:sz w:val="24"/>
          <w:szCs w:val="24"/>
          <w:rtl/>
        </w:rPr>
        <w:t>יַעֲטֹף</w:t>
      </w:r>
      <w:proofErr w:type="spellEnd"/>
      <w:r w:rsidRPr="00FD7E71">
        <w:rPr>
          <w:rFonts w:ascii="David" w:hAnsi="David" w:cs="David"/>
          <w:b/>
          <w:bCs/>
          <w:sz w:val="24"/>
          <w:szCs w:val="24"/>
        </w:rPr>
        <w:t>"</w:t>
      </w:r>
      <w:r w:rsidRPr="00FD7E71">
        <w:rPr>
          <w:rFonts w:ascii="David" w:hAnsi="David" w:cs="David"/>
          <w:b/>
          <w:bCs/>
          <w:sz w:val="24"/>
          <w:szCs w:val="24"/>
          <w:rtl/>
        </w:rPr>
        <w:t xml:space="preserve"> (תהילים קב).</w:t>
      </w:r>
      <w:r w:rsidRPr="00FD7E71">
        <w:rPr>
          <w:rFonts w:ascii="David" w:hAnsi="David" w:cs="David"/>
          <w:b/>
          <w:bCs/>
          <w:sz w:val="24"/>
          <w:szCs w:val="24"/>
        </w:rPr>
        <w:br/>
      </w:r>
      <w:r w:rsidRPr="00FD7E71">
        <w:rPr>
          <w:rFonts w:ascii="David" w:hAnsi="David" w:cs="David"/>
          <w:b/>
          <w:bCs/>
          <w:sz w:val="24"/>
          <w:szCs w:val="24"/>
          <w:rtl/>
        </w:rPr>
        <w:t>רַבִּי יְהוּדָה אוֹמֵר</w:t>
      </w:r>
      <w:r w:rsidRPr="00FD7E71">
        <w:rPr>
          <w:rFonts w:ascii="David" w:hAnsi="David" w:cs="David"/>
          <w:b/>
          <w:bCs/>
          <w:sz w:val="24"/>
          <w:szCs w:val="24"/>
        </w:rPr>
        <w:t>:</w:t>
      </w:r>
      <w:r w:rsidRPr="00FD7E71">
        <w:rPr>
          <w:rFonts w:ascii="David" w:hAnsi="David" w:cs="David"/>
          <w:b/>
          <w:bCs/>
          <w:sz w:val="24"/>
          <w:szCs w:val="24"/>
        </w:rPr>
        <w:br/>
      </w:r>
      <w:r w:rsidRPr="00FD7E71">
        <w:rPr>
          <w:rFonts w:ascii="David" w:hAnsi="David" w:cs="David"/>
          <w:b/>
          <w:bCs/>
          <w:sz w:val="24"/>
          <w:szCs w:val="24"/>
          <w:rtl/>
        </w:rPr>
        <w:t xml:space="preserve">לֹא הָיָה צָרִיךְ לוֹמַר </w:t>
      </w:r>
      <w:proofErr w:type="spellStart"/>
      <w:r w:rsidRPr="00FD7E71">
        <w:rPr>
          <w:rFonts w:ascii="David" w:hAnsi="David" w:cs="David"/>
          <w:b/>
          <w:bCs/>
          <w:sz w:val="24"/>
          <w:szCs w:val="24"/>
          <w:rtl/>
        </w:rPr>
        <w:t>זִכְרוֹנוֹת</w:t>
      </w:r>
      <w:proofErr w:type="spellEnd"/>
      <w:r w:rsidRPr="00FD7E71">
        <w:rPr>
          <w:rFonts w:ascii="David" w:hAnsi="David" w:cs="David"/>
          <w:b/>
          <w:bCs/>
          <w:sz w:val="24"/>
          <w:szCs w:val="24"/>
          <w:rtl/>
        </w:rPr>
        <w:t xml:space="preserve"> וְשׁוֹפָרוֹת</w:t>
      </w:r>
      <w:r w:rsidRPr="00FD7E71">
        <w:rPr>
          <w:rFonts w:ascii="David" w:hAnsi="David" w:cs="David"/>
          <w:b/>
          <w:bCs/>
          <w:sz w:val="24"/>
          <w:szCs w:val="24"/>
        </w:rPr>
        <w:t>,</w:t>
      </w:r>
      <w:r w:rsidRPr="00FD7E71">
        <w:rPr>
          <w:rFonts w:ascii="David" w:hAnsi="David" w:cs="David"/>
          <w:b/>
          <w:bCs/>
          <w:sz w:val="24"/>
          <w:szCs w:val="24"/>
        </w:rPr>
        <w:br/>
      </w:r>
      <w:r w:rsidRPr="00FD7E71">
        <w:rPr>
          <w:rFonts w:ascii="David" w:hAnsi="David" w:cs="David"/>
          <w:b/>
          <w:bCs/>
          <w:sz w:val="24"/>
          <w:szCs w:val="24"/>
          <w:rtl/>
        </w:rPr>
        <w:t>אֶלָּא אוֹמֵר תַּחְתֵּיהֶן</w:t>
      </w:r>
      <w:r w:rsidRPr="00FD7E71">
        <w:rPr>
          <w:rFonts w:ascii="David" w:hAnsi="David" w:cs="David"/>
          <w:b/>
          <w:bCs/>
          <w:sz w:val="24"/>
          <w:szCs w:val="24"/>
        </w:rPr>
        <w:t>:</w:t>
      </w:r>
      <w:r w:rsidRPr="00FD7E71">
        <w:rPr>
          <w:rFonts w:ascii="David" w:hAnsi="David" w:cs="David"/>
          <w:b/>
          <w:bCs/>
          <w:sz w:val="24"/>
          <w:szCs w:val="24"/>
        </w:rPr>
        <w:br/>
        <w:t>"</w:t>
      </w:r>
      <w:r w:rsidRPr="00FD7E71">
        <w:rPr>
          <w:rFonts w:ascii="David" w:hAnsi="David" w:cs="David"/>
          <w:b/>
          <w:bCs/>
          <w:sz w:val="24"/>
          <w:szCs w:val="24"/>
          <w:rtl/>
        </w:rPr>
        <w:t>רָעָב כִּי יִהְיֶה בָאָרֶץ, דֶּבֶר כִּי יִהְיֶה" (מלכים א, ח),</w:t>
      </w:r>
      <w:r w:rsidRPr="00FD7E71">
        <w:rPr>
          <w:rFonts w:ascii="David" w:hAnsi="David" w:cs="David"/>
          <w:b/>
          <w:bCs/>
          <w:sz w:val="24"/>
          <w:szCs w:val="24"/>
        </w:rPr>
        <w:br/>
        <w:t>"</w:t>
      </w:r>
      <w:r w:rsidRPr="00FD7E71">
        <w:rPr>
          <w:rFonts w:ascii="David" w:hAnsi="David" w:cs="David"/>
          <w:b/>
          <w:bCs/>
          <w:sz w:val="24"/>
          <w:szCs w:val="24"/>
          <w:rtl/>
        </w:rPr>
        <w:t xml:space="preserve">אֲשֶׁר הָיָה דְבַר ה' אֶל יִרְמְיָהוּ עַל דִּבְרֵי </w:t>
      </w:r>
      <w:proofErr w:type="spellStart"/>
      <w:r w:rsidRPr="00FD7E71">
        <w:rPr>
          <w:rFonts w:ascii="David" w:hAnsi="David" w:cs="David"/>
          <w:b/>
          <w:bCs/>
          <w:sz w:val="24"/>
          <w:szCs w:val="24"/>
          <w:rtl/>
        </w:rPr>
        <w:t>הַבַּצָּרוֹת</w:t>
      </w:r>
      <w:proofErr w:type="spellEnd"/>
      <w:r w:rsidRPr="00FD7E71">
        <w:rPr>
          <w:rFonts w:ascii="David" w:hAnsi="David" w:cs="David"/>
          <w:b/>
          <w:bCs/>
          <w:sz w:val="24"/>
          <w:szCs w:val="24"/>
        </w:rPr>
        <w:t>"</w:t>
      </w:r>
      <w:r w:rsidRPr="00FD7E71">
        <w:rPr>
          <w:rFonts w:ascii="David" w:hAnsi="David" w:cs="David"/>
          <w:b/>
          <w:bCs/>
          <w:sz w:val="24"/>
          <w:szCs w:val="24"/>
          <w:rtl/>
        </w:rPr>
        <w:t xml:space="preserve"> (ירמיהו יד).</w:t>
      </w:r>
      <w:r w:rsidRPr="00FD7E71">
        <w:rPr>
          <w:rFonts w:ascii="David" w:hAnsi="David" w:cs="David"/>
          <w:b/>
          <w:bCs/>
          <w:sz w:val="24"/>
          <w:szCs w:val="24"/>
        </w:rPr>
        <w:br/>
      </w:r>
      <w:r w:rsidRPr="00FD7E71">
        <w:rPr>
          <w:rFonts w:ascii="David" w:hAnsi="David" w:cs="David"/>
          <w:b/>
          <w:bCs/>
          <w:sz w:val="24"/>
          <w:szCs w:val="24"/>
          <w:rtl/>
        </w:rPr>
        <w:t>וְאוֹמֵר חוֹתְמֵיהֶן</w:t>
      </w:r>
      <w:r w:rsidRPr="00FD7E71">
        <w:rPr>
          <w:rFonts w:ascii="David" w:hAnsi="David" w:cs="David"/>
          <w:b/>
          <w:bCs/>
          <w:sz w:val="24"/>
          <w:szCs w:val="24"/>
        </w:rPr>
        <w:t>.</w:t>
      </w:r>
    </w:p>
    <w:p w:rsidR="00C115F6" w:rsidRPr="00FD7E71" w:rsidRDefault="00C115F6" w:rsidP="00C115F6">
      <w:pPr>
        <w:spacing w:after="120" w:line="360" w:lineRule="auto"/>
        <w:rPr>
          <w:rFonts w:ascii="David" w:hAnsi="David" w:cs="David"/>
          <w:b/>
          <w:bCs/>
          <w:sz w:val="24"/>
          <w:szCs w:val="24"/>
          <w:rtl/>
        </w:rPr>
      </w:pPr>
    </w:p>
    <w:p w:rsidR="00C115F6" w:rsidRPr="00FD7E71" w:rsidRDefault="00C115F6" w:rsidP="00C115F6">
      <w:pPr>
        <w:spacing w:line="360" w:lineRule="auto"/>
        <w:rPr>
          <w:rFonts w:ascii="David" w:hAnsi="David" w:cs="David"/>
          <w:sz w:val="24"/>
          <w:szCs w:val="24"/>
          <w:highlight w:val="green"/>
          <w:rtl/>
        </w:rPr>
      </w:pPr>
      <w:r w:rsidRPr="00FD7E71">
        <w:rPr>
          <w:rFonts w:ascii="David" w:hAnsi="David" w:cs="David"/>
          <w:sz w:val="24"/>
          <w:szCs w:val="24"/>
          <w:highlight w:val="green"/>
          <w:rtl/>
        </w:rPr>
        <w:t>מבנה</w:t>
      </w:r>
    </w:p>
    <w:p w:rsidR="00C115F6" w:rsidRPr="00FD7E71" w:rsidRDefault="00C115F6" w:rsidP="00C115F6">
      <w:pPr>
        <w:spacing w:line="360" w:lineRule="auto"/>
        <w:jc w:val="both"/>
        <w:rPr>
          <w:rFonts w:ascii="David" w:hAnsi="David" w:cs="David"/>
          <w:sz w:val="24"/>
          <w:szCs w:val="24"/>
          <w:rtl/>
        </w:rPr>
      </w:pPr>
      <w:r>
        <w:rPr>
          <w:rFonts w:ascii="David" w:hAnsi="David" w:cs="David" w:hint="cs"/>
          <w:sz w:val="24"/>
          <w:szCs w:val="24"/>
          <w:rtl/>
        </w:rPr>
        <w:t>משנה זו ממשיכה את המשניות שקדמו לה, ומבארת את תוכן הברכות הנוספות בימי התענית. רצוי לכוון את התלמידים לעיין במשנה הקודמת כדי להבין את דברי משנתנו "ולאלו הן" (משימה 1).</w:t>
      </w:r>
    </w:p>
    <w:p w:rsidR="00C115F6" w:rsidRDefault="00C115F6" w:rsidP="00C115F6">
      <w:pPr>
        <w:spacing w:line="360" w:lineRule="auto"/>
        <w:rPr>
          <w:rFonts w:ascii="David" w:hAnsi="David" w:cs="David"/>
          <w:sz w:val="24"/>
          <w:szCs w:val="24"/>
          <w:rtl/>
        </w:rPr>
      </w:pPr>
    </w:p>
    <w:p w:rsidR="00C115F6" w:rsidRDefault="00C115F6" w:rsidP="00C115F6">
      <w:pPr>
        <w:spacing w:line="360" w:lineRule="auto"/>
        <w:rPr>
          <w:rFonts w:ascii="David" w:hAnsi="David" w:cs="David"/>
          <w:sz w:val="24"/>
          <w:szCs w:val="24"/>
          <w:rtl/>
        </w:rPr>
      </w:pPr>
    </w:p>
    <w:p w:rsidR="00C115F6" w:rsidRPr="00FD7E71" w:rsidRDefault="00C115F6" w:rsidP="00C115F6">
      <w:pPr>
        <w:spacing w:line="360" w:lineRule="auto"/>
        <w:rPr>
          <w:rFonts w:ascii="David" w:hAnsi="David" w:cs="David"/>
          <w:sz w:val="24"/>
          <w:szCs w:val="24"/>
          <w:rtl/>
        </w:rPr>
      </w:pPr>
    </w:p>
    <w:p w:rsidR="00C115F6" w:rsidRPr="00FD7E71" w:rsidRDefault="00C115F6" w:rsidP="00C115F6">
      <w:pPr>
        <w:spacing w:line="360" w:lineRule="auto"/>
        <w:rPr>
          <w:rFonts w:ascii="David" w:hAnsi="David" w:cs="David"/>
          <w:sz w:val="24"/>
          <w:szCs w:val="24"/>
          <w:rtl/>
        </w:rPr>
      </w:pPr>
      <w:r w:rsidRPr="00FD7E71">
        <w:rPr>
          <w:rFonts w:ascii="David" w:hAnsi="David" w:cs="David"/>
          <w:sz w:val="24"/>
          <w:szCs w:val="24"/>
          <w:highlight w:val="green"/>
          <w:rtl/>
        </w:rPr>
        <w:lastRenderedPageBreak/>
        <w:t>תוכן</w:t>
      </w:r>
    </w:p>
    <w:p w:rsidR="00C115F6" w:rsidRPr="00FD7E71" w:rsidRDefault="00C115F6" w:rsidP="00C115F6">
      <w:pPr>
        <w:spacing w:line="360" w:lineRule="auto"/>
        <w:rPr>
          <w:rFonts w:ascii="David" w:hAnsi="David" w:cs="David"/>
          <w:b/>
          <w:bCs/>
          <w:sz w:val="24"/>
          <w:szCs w:val="24"/>
          <w:rtl/>
        </w:rPr>
      </w:pPr>
      <w:r w:rsidRPr="00FD7E71">
        <w:rPr>
          <w:rFonts w:ascii="David" w:hAnsi="David" w:cs="David"/>
          <w:b/>
          <w:bCs/>
          <w:sz w:val="24"/>
          <w:szCs w:val="24"/>
          <w:rtl/>
        </w:rPr>
        <w:t>ברכות העמידה</w:t>
      </w:r>
    </w:p>
    <w:p w:rsidR="00C115F6" w:rsidRDefault="00C115F6" w:rsidP="00C115F6">
      <w:pPr>
        <w:spacing w:line="360" w:lineRule="auto"/>
        <w:rPr>
          <w:rFonts w:ascii="David" w:hAnsi="David" w:cs="David"/>
          <w:sz w:val="24"/>
          <w:szCs w:val="24"/>
          <w:rtl/>
        </w:rPr>
      </w:pPr>
      <w:r w:rsidRPr="00FD7E71">
        <w:rPr>
          <w:rFonts w:ascii="David" w:hAnsi="David" w:cs="David"/>
          <w:sz w:val="24"/>
          <w:szCs w:val="24"/>
          <w:rtl/>
        </w:rPr>
        <w:t>ברכות תפילת העמידה מחולקות לשני חלקים: תוכן הברכה וחתימת הברכה (סיום). גם שש הברכות הנוספות בימי התענית בנויות כך, בתחילה התוכן (בו עוסקת משנתנו), ולבסוף החתימה (בה עוסקת המשנה הבאה).</w:t>
      </w:r>
      <w:r>
        <w:rPr>
          <w:rFonts w:ascii="David" w:hAnsi="David" w:cs="David" w:hint="cs"/>
          <w:sz w:val="24"/>
          <w:szCs w:val="24"/>
          <w:rtl/>
        </w:rPr>
        <w:t xml:space="preserve"> חשוב להראות לתלמידים ברכות שהם מכירים (ברכות העמידה לדוגמא) ולהסביר להם מהו תוכן הברכה ומהי החתימה (ברוך אתה ה'...).</w:t>
      </w:r>
    </w:p>
    <w:p w:rsidR="00C115F6" w:rsidRPr="00FD7E71" w:rsidRDefault="00C115F6" w:rsidP="00C115F6">
      <w:pPr>
        <w:spacing w:line="360" w:lineRule="auto"/>
        <w:rPr>
          <w:rFonts w:ascii="David" w:hAnsi="David" w:cs="David"/>
          <w:sz w:val="24"/>
          <w:szCs w:val="24"/>
          <w:rtl/>
        </w:rPr>
      </w:pPr>
    </w:p>
    <w:p w:rsidR="00C115F6" w:rsidRPr="00FD7E71" w:rsidRDefault="00C115F6" w:rsidP="00C115F6">
      <w:pPr>
        <w:spacing w:line="360" w:lineRule="auto"/>
        <w:rPr>
          <w:rFonts w:ascii="David" w:hAnsi="David" w:cs="David"/>
          <w:b/>
          <w:bCs/>
          <w:sz w:val="24"/>
          <w:szCs w:val="24"/>
          <w:rtl/>
        </w:rPr>
      </w:pPr>
      <w:r w:rsidRPr="00FD7E71">
        <w:rPr>
          <w:rFonts w:ascii="David" w:hAnsi="David" w:cs="David"/>
          <w:b/>
          <w:bCs/>
          <w:sz w:val="24"/>
          <w:szCs w:val="24"/>
          <w:rtl/>
        </w:rPr>
        <w:t>הברכות הראשונות – זיכרונות ושופרות</w:t>
      </w:r>
    </w:p>
    <w:p w:rsidR="00C115F6" w:rsidRDefault="00C115F6" w:rsidP="00C115F6">
      <w:pPr>
        <w:spacing w:line="360" w:lineRule="auto"/>
        <w:rPr>
          <w:rFonts w:ascii="David" w:hAnsi="David" w:cs="David"/>
          <w:sz w:val="24"/>
          <w:szCs w:val="24"/>
          <w:rtl/>
        </w:rPr>
      </w:pPr>
      <w:r w:rsidRPr="00FD7E71">
        <w:rPr>
          <w:rFonts w:ascii="David" w:hAnsi="David" w:cs="David"/>
          <w:sz w:val="24"/>
          <w:szCs w:val="24"/>
          <w:rtl/>
        </w:rPr>
        <w:t xml:space="preserve">תוכן הברכה </w:t>
      </w:r>
      <w:r w:rsidRPr="00FD7E71">
        <w:rPr>
          <w:rFonts w:ascii="David" w:hAnsi="David" w:cs="David"/>
          <w:b/>
          <w:bCs/>
          <w:sz w:val="24"/>
          <w:szCs w:val="24"/>
          <w:rtl/>
        </w:rPr>
        <w:t>הראשונה</w:t>
      </w:r>
      <w:r w:rsidRPr="00FD7E71">
        <w:rPr>
          <w:rFonts w:ascii="David" w:hAnsi="David" w:cs="David"/>
          <w:sz w:val="24"/>
          <w:szCs w:val="24"/>
          <w:rtl/>
        </w:rPr>
        <w:t xml:space="preserve"> מבין הברכות שמוסיפים בתענית הוא "</w:t>
      </w:r>
      <w:r w:rsidRPr="00FD7E71">
        <w:rPr>
          <w:rFonts w:ascii="David" w:hAnsi="David" w:cs="David"/>
          <w:b/>
          <w:bCs/>
          <w:sz w:val="24"/>
          <w:szCs w:val="24"/>
          <w:rtl/>
        </w:rPr>
        <w:t>זיכרונות</w:t>
      </w:r>
      <w:r w:rsidRPr="00FD7E71">
        <w:rPr>
          <w:rFonts w:ascii="David" w:hAnsi="David" w:cs="David"/>
          <w:sz w:val="24"/>
          <w:szCs w:val="24"/>
          <w:rtl/>
        </w:rPr>
        <w:t xml:space="preserve">", ותוכן הברכה </w:t>
      </w:r>
      <w:r w:rsidRPr="00FD7E71">
        <w:rPr>
          <w:rFonts w:ascii="David" w:hAnsi="David" w:cs="David"/>
          <w:b/>
          <w:bCs/>
          <w:sz w:val="24"/>
          <w:szCs w:val="24"/>
          <w:rtl/>
        </w:rPr>
        <w:t>השנייה</w:t>
      </w:r>
      <w:r w:rsidRPr="00FD7E71">
        <w:rPr>
          <w:rFonts w:ascii="David" w:hAnsi="David" w:cs="David"/>
          <w:sz w:val="24"/>
          <w:szCs w:val="24"/>
          <w:rtl/>
        </w:rPr>
        <w:t xml:space="preserve"> הוא "</w:t>
      </w:r>
      <w:r w:rsidRPr="00FD7E71">
        <w:rPr>
          <w:rFonts w:ascii="David" w:hAnsi="David" w:cs="David"/>
          <w:b/>
          <w:bCs/>
          <w:sz w:val="24"/>
          <w:szCs w:val="24"/>
          <w:rtl/>
        </w:rPr>
        <w:t>שופרות</w:t>
      </w:r>
      <w:r w:rsidRPr="00FD7E71">
        <w:rPr>
          <w:rFonts w:ascii="David" w:hAnsi="David" w:cs="David"/>
          <w:sz w:val="24"/>
          <w:szCs w:val="24"/>
          <w:rtl/>
        </w:rPr>
        <w:t xml:space="preserve">". את תוכן הברכות הללו אנו מכירים גם מתפילת מוסף של </w:t>
      </w:r>
      <w:r w:rsidRPr="0015083D">
        <w:rPr>
          <w:rFonts w:ascii="David" w:hAnsi="David" w:cs="David"/>
          <w:b/>
          <w:bCs/>
          <w:sz w:val="24"/>
          <w:szCs w:val="24"/>
          <w:rtl/>
        </w:rPr>
        <w:t>ראש השנה</w:t>
      </w:r>
      <w:r w:rsidRPr="00FD7E71">
        <w:rPr>
          <w:rFonts w:ascii="David" w:hAnsi="David" w:cs="David"/>
          <w:sz w:val="24"/>
          <w:szCs w:val="24"/>
          <w:rtl/>
        </w:rPr>
        <w:t>, שם אנו מברכים אותן יחד עם ברכת "מלכויות". ברכת הזיכרונות כוללת פסוקים המתארים את ה' שזוכר אותנו גם בשעת צרה, וברכת השופרות כוללת פסוקים המתארים את קול השופר באירועים שונים (לדוגמה: במעמד הר סיני ובגאולת עם ישראל מהגלות).</w:t>
      </w:r>
      <w:r>
        <w:rPr>
          <w:rFonts w:ascii="David" w:hAnsi="David" w:cs="David" w:hint="cs"/>
          <w:sz w:val="24"/>
          <w:szCs w:val="24"/>
          <w:rtl/>
        </w:rPr>
        <w:t xml:space="preserve"> ביחידה נבקש מהתלמידים לומר מהיכן עוד הם מכירים את הברכות הללו (משימה 2) וכן להשלים משפטי סיכום על הסבר הברכות (משימה 3). </w:t>
      </w:r>
    </w:p>
    <w:p w:rsidR="00C115F6" w:rsidRDefault="00C115F6" w:rsidP="00C115F6">
      <w:pPr>
        <w:spacing w:line="360" w:lineRule="auto"/>
        <w:rPr>
          <w:rFonts w:ascii="David" w:hAnsi="David" w:cs="David"/>
          <w:sz w:val="24"/>
          <w:szCs w:val="24"/>
          <w:rtl/>
        </w:rPr>
      </w:pPr>
    </w:p>
    <w:p w:rsidR="00C115F6" w:rsidRPr="008E383E" w:rsidRDefault="00C115F6" w:rsidP="00C115F6">
      <w:pPr>
        <w:spacing w:line="360" w:lineRule="auto"/>
        <w:rPr>
          <w:rFonts w:ascii="David" w:hAnsi="David" w:cs="David"/>
          <w:b/>
          <w:bCs/>
          <w:sz w:val="24"/>
          <w:szCs w:val="24"/>
          <w:rtl/>
        </w:rPr>
      </w:pPr>
      <w:r w:rsidRPr="008E383E">
        <w:rPr>
          <w:rFonts w:ascii="David" w:hAnsi="David" w:cs="David" w:hint="cs"/>
          <w:b/>
          <w:bCs/>
          <w:sz w:val="24"/>
          <w:szCs w:val="24"/>
          <w:rtl/>
        </w:rPr>
        <w:t>שאר הברכות</w:t>
      </w:r>
    </w:p>
    <w:p w:rsidR="00C115F6" w:rsidRDefault="00C115F6" w:rsidP="00C115F6">
      <w:pPr>
        <w:spacing w:line="360" w:lineRule="auto"/>
        <w:rPr>
          <w:rFonts w:ascii="David" w:hAnsi="David" w:cs="David"/>
          <w:sz w:val="24"/>
          <w:szCs w:val="24"/>
          <w:rtl/>
        </w:rPr>
      </w:pPr>
      <w:r>
        <w:rPr>
          <w:rFonts w:ascii="David" w:hAnsi="David" w:cs="David" w:hint="cs"/>
          <w:sz w:val="24"/>
          <w:szCs w:val="24"/>
          <w:rtl/>
        </w:rPr>
        <w:t>תוכן ארבע הברכות האחרות מורכב מפרקי תהילים שונים, כאשר בכל ברכה אומרים פרק שלם אחר. המשותף לכולם הוא הפניה אל ה' לישועה בשעה שהאדם נתון בצרה. התלמידים יצטרכו לזהות את המכנה המשותף לכל ארבעת המזמורים (משימה 4).</w:t>
      </w:r>
    </w:p>
    <w:p w:rsidR="00C115F6" w:rsidRPr="00FD7E71" w:rsidRDefault="00C115F6" w:rsidP="00C115F6">
      <w:pPr>
        <w:spacing w:line="360" w:lineRule="auto"/>
        <w:rPr>
          <w:rFonts w:ascii="David" w:hAnsi="David" w:cs="David"/>
          <w:sz w:val="24"/>
          <w:szCs w:val="24"/>
        </w:rPr>
      </w:pPr>
    </w:p>
    <w:p w:rsidR="00C115F6" w:rsidRPr="00FD7E71" w:rsidRDefault="00C115F6" w:rsidP="00C115F6">
      <w:pPr>
        <w:spacing w:line="360" w:lineRule="auto"/>
        <w:rPr>
          <w:rFonts w:ascii="David" w:hAnsi="David" w:cs="David"/>
          <w:b/>
          <w:bCs/>
          <w:sz w:val="24"/>
          <w:szCs w:val="24"/>
          <w:rtl/>
        </w:rPr>
      </w:pPr>
      <w:r w:rsidRPr="00FD7E71">
        <w:rPr>
          <w:rFonts w:ascii="David" w:hAnsi="David" w:cs="David"/>
          <w:b/>
          <w:bCs/>
          <w:sz w:val="24"/>
          <w:szCs w:val="24"/>
          <w:rtl/>
        </w:rPr>
        <w:t>וְאוֹמֵר חוֹתְמֵיהֶן</w:t>
      </w:r>
    </w:p>
    <w:p w:rsidR="00C115F6" w:rsidRPr="00FD7E71" w:rsidRDefault="00C115F6" w:rsidP="00C115F6">
      <w:pPr>
        <w:spacing w:line="360" w:lineRule="auto"/>
        <w:rPr>
          <w:rFonts w:ascii="David" w:hAnsi="David" w:cs="David"/>
          <w:sz w:val="24"/>
          <w:szCs w:val="24"/>
          <w:rtl/>
        </w:rPr>
      </w:pPr>
      <w:r w:rsidRPr="00FD7E71">
        <w:rPr>
          <w:rFonts w:ascii="David" w:hAnsi="David" w:cs="David"/>
          <w:sz w:val="24"/>
          <w:szCs w:val="24"/>
          <w:rtl/>
        </w:rPr>
        <w:t>כפי שלמדנו, בסיום כל ברכה יש חתימה שקשורה לתוכן הברכה. במשנה זו עסקנו בתוכן הברכות. על חתימת הברכות נלמד במשנה הבאה.</w:t>
      </w:r>
      <w:r>
        <w:rPr>
          <w:rFonts w:ascii="David" w:hAnsi="David" w:cs="David" w:hint="cs"/>
          <w:sz w:val="24"/>
          <w:szCs w:val="24"/>
          <w:rtl/>
        </w:rPr>
        <w:t xml:space="preserve"> כדי שהתלמידים יבינו טוב יותר על מה דובר במשנה זו ומה מוסיפה המשנה הבאה, נבקש מהם להתאים בין תוכן הברכות לחתימת הברכות </w:t>
      </w:r>
      <w:r>
        <w:rPr>
          <w:rFonts w:ascii="David" w:hAnsi="David" w:cs="David"/>
          <w:sz w:val="24"/>
          <w:szCs w:val="24"/>
          <w:rtl/>
        </w:rPr>
        <w:t>–</w:t>
      </w:r>
      <w:r>
        <w:rPr>
          <w:rFonts w:ascii="David" w:hAnsi="David" w:cs="David" w:hint="cs"/>
          <w:sz w:val="24"/>
          <w:szCs w:val="24"/>
          <w:rtl/>
        </w:rPr>
        <w:t xml:space="preserve"> מתוך ברכות העמידה (משימה 6).</w:t>
      </w:r>
    </w:p>
    <w:p w:rsidR="00C115F6" w:rsidRDefault="00C115F6" w:rsidP="00C115F6">
      <w:pPr>
        <w:spacing w:line="360" w:lineRule="auto"/>
        <w:rPr>
          <w:rFonts w:ascii="David" w:hAnsi="David" w:cs="David"/>
          <w:color w:val="252525"/>
          <w:sz w:val="24"/>
          <w:szCs w:val="24"/>
          <w:shd w:val="clear" w:color="auto" w:fill="FFFFFF"/>
          <w:rtl/>
        </w:rPr>
      </w:pPr>
    </w:p>
    <w:p w:rsidR="00C115F6" w:rsidRDefault="00C115F6" w:rsidP="00C115F6">
      <w:pPr>
        <w:spacing w:line="360" w:lineRule="auto"/>
        <w:rPr>
          <w:rFonts w:ascii="David" w:hAnsi="David" w:cs="David"/>
          <w:color w:val="252525"/>
          <w:sz w:val="24"/>
          <w:szCs w:val="24"/>
          <w:shd w:val="clear" w:color="auto" w:fill="FFFFFF"/>
          <w:rtl/>
        </w:rPr>
      </w:pPr>
    </w:p>
    <w:p w:rsidR="00C115F6" w:rsidRDefault="00C115F6" w:rsidP="00C115F6">
      <w:pPr>
        <w:spacing w:line="360" w:lineRule="auto"/>
        <w:rPr>
          <w:rFonts w:ascii="David" w:hAnsi="David" w:cs="David"/>
          <w:color w:val="252525"/>
          <w:sz w:val="24"/>
          <w:szCs w:val="24"/>
          <w:shd w:val="clear" w:color="auto" w:fill="FFFFFF"/>
          <w:rtl/>
        </w:rPr>
      </w:pPr>
    </w:p>
    <w:p w:rsidR="00C115F6" w:rsidRPr="00FD7E71" w:rsidRDefault="00C115F6" w:rsidP="00C115F6">
      <w:pPr>
        <w:spacing w:line="360" w:lineRule="auto"/>
        <w:rPr>
          <w:rFonts w:ascii="David" w:hAnsi="David" w:cs="David"/>
          <w:color w:val="252525"/>
          <w:sz w:val="24"/>
          <w:szCs w:val="24"/>
          <w:shd w:val="clear" w:color="auto" w:fill="FFFFFF"/>
          <w:rtl/>
        </w:rPr>
      </w:pPr>
    </w:p>
    <w:p w:rsidR="00C115F6" w:rsidRPr="00FD7E71" w:rsidRDefault="00C115F6" w:rsidP="00C115F6">
      <w:pPr>
        <w:spacing w:after="120" w:line="360" w:lineRule="auto"/>
        <w:rPr>
          <w:rFonts w:ascii="David" w:hAnsi="David" w:cs="David"/>
          <w:sz w:val="24"/>
          <w:szCs w:val="24"/>
          <w:rtl/>
        </w:rPr>
      </w:pPr>
      <w:r w:rsidRPr="00FD7E71">
        <w:rPr>
          <w:rFonts w:ascii="David" w:hAnsi="David" w:cs="David"/>
          <w:sz w:val="24"/>
          <w:szCs w:val="24"/>
          <w:highlight w:val="green"/>
          <w:rtl/>
        </w:rPr>
        <w:lastRenderedPageBreak/>
        <w:t>מיומנות</w:t>
      </w:r>
    </w:p>
    <w:p w:rsidR="00C115F6" w:rsidRPr="00015EBA" w:rsidRDefault="00C115F6" w:rsidP="00C115F6">
      <w:pPr>
        <w:pStyle w:val="aa"/>
        <w:numPr>
          <w:ilvl w:val="0"/>
          <w:numId w:val="30"/>
        </w:numPr>
        <w:spacing w:after="200" w:line="360" w:lineRule="auto"/>
        <w:rPr>
          <w:rFonts w:ascii="David" w:hAnsi="David" w:cs="David"/>
          <w:b/>
          <w:bCs/>
          <w:sz w:val="24"/>
          <w:szCs w:val="24"/>
          <w:rtl/>
        </w:rPr>
      </w:pPr>
      <w:r w:rsidRPr="00015EBA">
        <w:rPr>
          <w:rFonts w:ascii="David" w:hAnsi="David" w:cs="David"/>
          <w:b/>
          <w:bCs/>
          <w:sz w:val="24"/>
          <w:szCs w:val="24"/>
          <w:rtl/>
        </w:rPr>
        <w:t>הבחנה שמשנה זו ממשיכה את קודמותיה (משימה 1)</w:t>
      </w:r>
    </w:p>
    <w:p w:rsidR="00C115F6" w:rsidRDefault="00C115F6" w:rsidP="00C115F6">
      <w:pPr>
        <w:spacing w:line="360" w:lineRule="auto"/>
        <w:rPr>
          <w:rFonts w:ascii="David" w:hAnsi="David" w:cs="David"/>
          <w:sz w:val="24"/>
          <w:szCs w:val="24"/>
          <w:rtl/>
        </w:rPr>
      </w:pPr>
      <w:r>
        <w:rPr>
          <w:rFonts w:ascii="David" w:hAnsi="David" w:cs="David" w:hint="cs"/>
          <w:sz w:val="24"/>
          <w:szCs w:val="24"/>
          <w:rtl/>
        </w:rPr>
        <w:t>התלמידים יבחינו כי משנה זו ממשיכה את קודמותיה, ויכירו זאת באמצעות פרוש המילים "ואלו הן" הבאות בראשה של המשנה.</w:t>
      </w:r>
    </w:p>
    <w:p w:rsidR="00C115F6" w:rsidRDefault="00C115F6" w:rsidP="00C115F6">
      <w:pPr>
        <w:pStyle w:val="aa"/>
        <w:numPr>
          <w:ilvl w:val="0"/>
          <w:numId w:val="30"/>
        </w:numPr>
        <w:spacing w:after="120" w:line="360" w:lineRule="auto"/>
        <w:rPr>
          <w:rFonts w:ascii="David" w:hAnsi="David" w:cs="David"/>
          <w:b/>
          <w:bCs/>
          <w:sz w:val="24"/>
          <w:szCs w:val="24"/>
        </w:rPr>
      </w:pPr>
      <w:r>
        <w:rPr>
          <w:rFonts w:ascii="David" w:hAnsi="David" w:cs="David" w:hint="cs"/>
          <w:b/>
          <w:bCs/>
          <w:sz w:val="24"/>
          <w:szCs w:val="24"/>
          <w:rtl/>
        </w:rPr>
        <w:t>הבחנה בין שיטות שונות (משימה 5)</w:t>
      </w:r>
    </w:p>
    <w:p w:rsidR="00C115F6" w:rsidRPr="0095356F" w:rsidRDefault="00C115F6" w:rsidP="00C115F6">
      <w:pPr>
        <w:spacing w:line="360" w:lineRule="auto"/>
        <w:rPr>
          <w:rFonts w:ascii="David" w:hAnsi="David" w:cs="David"/>
          <w:sz w:val="24"/>
          <w:szCs w:val="24"/>
          <w:rtl/>
        </w:rPr>
      </w:pPr>
      <w:r>
        <w:rPr>
          <w:rFonts w:ascii="David" w:hAnsi="David" w:cs="David" w:hint="cs"/>
          <w:sz w:val="24"/>
          <w:szCs w:val="24"/>
          <w:rtl/>
        </w:rPr>
        <w:t>במשנה זו יש מחלוקת בין תנא קמא לרבי יהודה בנוגע לתוכנן של שתי הברכות הראשונות. התלמידים יבחינו בין שני סידורי תפילה בעלי נוסח שונה של ברכות ויתאימו כל סידור לשיטה המתאימה לו.</w:t>
      </w:r>
    </w:p>
    <w:p w:rsidR="00C115F6" w:rsidRPr="00FD7E71" w:rsidRDefault="00C115F6" w:rsidP="00C115F6">
      <w:pPr>
        <w:spacing w:after="120" w:line="360" w:lineRule="auto"/>
        <w:rPr>
          <w:rFonts w:ascii="David" w:hAnsi="David" w:cs="David"/>
          <w:sz w:val="24"/>
          <w:szCs w:val="24"/>
          <w:rtl/>
        </w:rPr>
      </w:pPr>
      <w:bookmarkStart w:id="0" w:name="_GoBack"/>
      <w:bookmarkEnd w:id="0"/>
    </w:p>
    <w:p w:rsidR="00C115F6" w:rsidRPr="00FD7E71" w:rsidRDefault="00C115F6" w:rsidP="00C115F6">
      <w:pPr>
        <w:spacing w:after="120" w:line="360" w:lineRule="auto"/>
        <w:rPr>
          <w:rFonts w:ascii="David" w:hAnsi="David" w:cs="David"/>
          <w:sz w:val="24"/>
          <w:szCs w:val="24"/>
          <w:rtl/>
        </w:rPr>
      </w:pPr>
      <w:r w:rsidRPr="00FD7E71">
        <w:rPr>
          <w:rFonts w:ascii="David" w:hAnsi="David" w:cs="David"/>
          <w:sz w:val="24"/>
          <w:szCs w:val="24"/>
          <w:highlight w:val="green"/>
          <w:rtl/>
        </w:rPr>
        <w:t>משמעות</w:t>
      </w:r>
    </w:p>
    <w:p w:rsidR="00C115F6" w:rsidRPr="00FD7E71" w:rsidRDefault="00C115F6" w:rsidP="00C115F6">
      <w:pPr>
        <w:spacing w:line="360" w:lineRule="auto"/>
        <w:rPr>
          <w:rFonts w:ascii="David" w:hAnsi="David" w:cs="David"/>
          <w:sz w:val="24"/>
          <w:szCs w:val="24"/>
          <w:rtl/>
        </w:rPr>
      </w:pPr>
      <w:r w:rsidRPr="00FD7E71">
        <w:rPr>
          <w:rFonts w:ascii="David" w:hAnsi="David" w:cs="David"/>
          <w:sz w:val="24"/>
          <w:szCs w:val="24"/>
          <w:rtl/>
        </w:rPr>
        <w:t>בתעניות הללו צריך להוסיף ול</w:t>
      </w:r>
      <w:r>
        <w:rPr>
          <w:rFonts w:ascii="David" w:hAnsi="David" w:cs="David"/>
          <w:sz w:val="24"/>
          <w:szCs w:val="24"/>
          <w:rtl/>
        </w:rPr>
        <w:t>זעוק לה' כדי שירחם עלינו ויוריד</w:t>
      </w:r>
      <w:r>
        <w:rPr>
          <w:rFonts w:ascii="David" w:hAnsi="David" w:cs="David" w:hint="cs"/>
          <w:sz w:val="24"/>
          <w:szCs w:val="24"/>
          <w:rtl/>
        </w:rPr>
        <w:t xml:space="preserve"> </w:t>
      </w:r>
      <w:r w:rsidRPr="00FD7E71">
        <w:rPr>
          <w:rFonts w:ascii="David" w:hAnsi="David" w:cs="David"/>
          <w:sz w:val="24"/>
          <w:szCs w:val="24"/>
          <w:rtl/>
        </w:rPr>
        <w:t>את הגשמים שאנו כה צריכים, לכן מוסיפים ברכות נוספות בתפילת העמידה.</w:t>
      </w:r>
      <w:r>
        <w:rPr>
          <w:rFonts w:ascii="David" w:hAnsi="David" w:cs="David" w:hint="cs"/>
          <w:sz w:val="24"/>
          <w:szCs w:val="24"/>
          <w:rtl/>
        </w:rPr>
        <w:t xml:space="preserve"> ביחידה ננסה לברר עם התלמידים אילו אירועים נוספים הם מכירים שבהם יש תפילות מיוחדות (משימה 7).</w:t>
      </w:r>
    </w:p>
    <w:p w:rsidR="00C115F6" w:rsidRPr="00FD7E71" w:rsidRDefault="00C115F6" w:rsidP="00C115F6">
      <w:pPr>
        <w:spacing w:after="120" w:line="360" w:lineRule="auto"/>
        <w:outlineLvl w:val="0"/>
        <w:rPr>
          <w:rFonts w:ascii="David" w:hAnsi="David" w:cs="David"/>
          <w:sz w:val="24"/>
          <w:szCs w:val="24"/>
          <w:rtl/>
        </w:rPr>
      </w:pPr>
    </w:p>
    <w:p w:rsidR="00C115F6" w:rsidRPr="00FD7E71" w:rsidRDefault="00C115F6" w:rsidP="00C115F6">
      <w:pPr>
        <w:spacing w:after="120" w:line="360" w:lineRule="auto"/>
        <w:rPr>
          <w:rFonts w:ascii="David" w:hAnsi="David" w:cs="David"/>
          <w:sz w:val="24"/>
          <w:szCs w:val="24"/>
          <w:highlight w:val="green"/>
          <w:rtl/>
        </w:rPr>
      </w:pPr>
      <w:r w:rsidRPr="00FD7E71">
        <w:rPr>
          <w:rFonts w:ascii="David" w:hAnsi="David" w:cs="David"/>
          <w:sz w:val="24"/>
          <w:szCs w:val="24"/>
          <w:highlight w:val="green"/>
          <w:rtl/>
        </w:rPr>
        <w:t>מטרות</w:t>
      </w:r>
    </w:p>
    <w:p w:rsidR="00C115F6" w:rsidRPr="00FD7E71" w:rsidRDefault="00C115F6" w:rsidP="00C115F6">
      <w:pPr>
        <w:pStyle w:val="aa"/>
        <w:numPr>
          <w:ilvl w:val="0"/>
          <w:numId w:val="29"/>
        </w:numPr>
        <w:spacing w:after="200" w:line="360" w:lineRule="auto"/>
        <w:rPr>
          <w:rFonts w:ascii="David" w:hAnsi="David" w:cs="David"/>
          <w:sz w:val="24"/>
          <w:szCs w:val="24"/>
          <w:rtl/>
        </w:rPr>
      </w:pPr>
      <w:r w:rsidRPr="00FD7E71">
        <w:rPr>
          <w:rFonts w:ascii="David" w:hAnsi="David" w:cs="David"/>
          <w:sz w:val="24"/>
          <w:szCs w:val="24"/>
          <w:rtl/>
        </w:rPr>
        <w:t xml:space="preserve">הישג </w:t>
      </w:r>
      <w:r w:rsidRPr="00FD7E71">
        <w:rPr>
          <w:rFonts w:ascii="David" w:hAnsi="David" w:cs="David"/>
          <w:b/>
          <w:bCs/>
          <w:sz w:val="24"/>
          <w:szCs w:val="24"/>
          <w:rtl/>
        </w:rPr>
        <w:t>מבנה</w:t>
      </w:r>
      <w:r w:rsidRPr="00FD7E71">
        <w:rPr>
          <w:rFonts w:ascii="David" w:hAnsi="David" w:cs="David"/>
          <w:sz w:val="24"/>
          <w:szCs w:val="24"/>
          <w:rtl/>
        </w:rPr>
        <w:t>: התלמיד ידע שמשנה זו ממשיכה את המשנה הקודמת.</w:t>
      </w:r>
    </w:p>
    <w:p w:rsidR="00C115F6" w:rsidRPr="00FD7E71" w:rsidRDefault="00C115F6" w:rsidP="00C115F6">
      <w:pPr>
        <w:pStyle w:val="aa"/>
        <w:numPr>
          <w:ilvl w:val="0"/>
          <w:numId w:val="29"/>
        </w:numPr>
        <w:spacing w:after="200" w:line="360" w:lineRule="auto"/>
        <w:rPr>
          <w:rFonts w:ascii="David" w:hAnsi="David" w:cs="David"/>
          <w:sz w:val="24"/>
          <w:szCs w:val="24"/>
          <w:rtl/>
        </w:rPr>
      </w:pPr>
      <w:r w:rsidRPr="00FD7E71">
        <w:rPr>
          <w:rFonts w:ascii="David" w:hAnsi="David" w:cs="David"/>
          <w:sz w:val="24"/>
          <w:szCs w:val="24"/>
          <w:rtl/>
        </w:rPr>
        <w:t xml:space="preserve">הישג </w:t>
      </w:r>
      <w:r w:rsidRPr="00FD7E71">
        <w:rPr>
          <w:rFonts w:ascii="David" w:hAnsi="David" w:cs="David"/>
          <w:b/>
          <w:bCs/>
          <w:sz w:val="24"/>
          <w:szCs w:val="24"/>
          <w:rtl/>
        </w:rPr>
        <w:t>לשון חכמים</w:t>
      </w:r>
      <w:r w:rsidRPr="00FD7E71">
        <w:rPr>
          <w:rFonts w:ascii="David" w:hAnsi="David" w:cs="David"/>
          <w:sz w:val="24"/>
          <w:szCs w:val="24"/>
          <w:rtl/>
        </w:rPr>
        <w:t>: התלמיד יכיר את המושגים 'תחתיהן' ו'חותמיהן'.</w:t>
      </w:r>
    </w:p>
    <w:p w:rsidR="00C115F6" w:rsidRPr="00FD7E71" w:rsidRDefault="00C115F6" w:rsidP="00C115F6">
      <w:pPr>
        <w:pStyle w:val="aa"/>
        <w:numPr>
          <w:ilvl w:val="0"/>
          <w:numId w:val="29"/>
        </w:numPr>
        <w:spacing w:after="200" w:line="360" w:lineRule="auto"/>
        <w:rPr>
          <w:rFonts w:ascii="David" w:hAnsi="David" w:cs="David"/>
          <w:sz w:val="24"/>
          <w:szCs w:val="24"/>
          <w:rtl/>
        </w:rPr>
      </w:pPr>
      <w:r w:rsidRPr="00FD7E71">
        <w:rPr>
          <w:rFonts w:ascii="David" w:hAnsi="David" w:cs="David"/>
          <w:sz w:val="24"/>
          <w:szCs w:val="24"/>
          <w:rtl/>
        </w:rPr>
        <w:t xml:space="preserve">הישג </w:t>
      </w:r>
      <w:r w:rsidRPr="00FD7E71">
        <w:rPr>
          <w:rFonts w:ascii="David" w:hAnsi="David" w:cs="David"/>
          <w:b/>
          <w:bCs/>
          <w:sz w:val="24"/>
          <w:szCs w:val="24"/>
          <w:rtl/>
        </w:rPr>
        <w:t>תושב"ע</w:t>
      </w:r>
      <w:r w:rsidRPr="00FD7E71">
        <w:rPr>
          <w:rFonts w:ascii="David" w:hAnsi="David" w:cs="David"/>
          <w:sz w:val="24"/>
          <w:szCs w:val="24"/>
          <w:rtl/>
        </w:rPr>
        <w:t xml:space="preserve">: התלמיד ידע כיצד בנויות ברכות העמידה ביום התענית. כמו כן הוא ידע מה המשותף לכל מזמורי </w:t>
      </w:r>
      <w:proofErr w:type="spellStart"/>
      <w:r w:rsidRPr="00FD7E71">
        <w:rPr>
          <w:rFonts w:ascii="David" w:hAnsi="David" w:cs="David"/>
          <w:sz w:val="24"/>
          <w:szCs w:val="24"/>
          <w:rtl/>
        </w:rPr>
        <w:t>התהילים</w:t>
      </w:r>
      <w:proofErr w:type="spellEnd"/>
      <w:r w:rsidRPr="00FD7E71">
        <w:rPr>
          <w:rFonts w:ascii="David" w:hAnsi="David" w:cs="David"/>
          <w:sz w:val="24"/>
          <w:szCs w:val="24"/>
          <w:rtl/>
        </w:rPr>
        <w:t xml:space="preserve"> המופיעים במשנה.</w:t>
      </w:r>
    </w:p>
    <w:p w:rsidR="00C115F6" w:rsidRPr="00FD7E71" w:rsidRDefault="00C115F6" w:rsidP="00C115F6">
      <w:pPr>
        <w:pStyle w:val="aa"/>
        <w:numPr>
          <w:ilvl w:val="0"/>
          <w:numId w:val="29"/>
        </w:numPr>
        <w:spacing w:after="200" w:line="360" w:lineRule="auto"/>
        <w:rPr>
          <w:rFonts w:ascii="David" w:hAnsi="David" w:cs="David"/>
          <w:sz w:val="24"/>
          <w:szCs w:val="24"/>
          <w:rtl/>
        </w:rPr>
      </w:pPr>
      <w:r w:rsidRPr="00FD7E71">
        <w:rPr>
          <w:rFonts w:ascii="David" w:hAnsi="David" w:cs="David"/>
          <w:sz w:val="24"/>
          <w:szCs w:val="24"/>
          <w:rtl/>
        </w:rPr>
        <w:t xml:space="preserve">הישג </w:t>
      </w:r>
      <w:r w:rsidRPr="00FD7E71">
        <w:rPr>
          <w:rFonts w:ascii="David" w:hAnsi="David" w:cs="David"/>
          <w:b/>
          <w:bCs/>
          <w:sz w:val="24"/>
          <w:szCs w:val="24"/>
          <w:rtl/>
        </w:rPr>
        <w:t>הבנה ופרשנות</w:t>
      </w:r>
      <w:r w:rsidRPr="00FD7E71">
        <w:rPr>
          <w:rFonts w:ascii="David" w:hAnsi="David" w:cs="David"/>
          <w:sz w:val="24"/>
          <w:szCs w:val="24"/>
          <w:rtl/>
        </w:rPr>
        <w:t>: התלמיד ידע להבחין בין הברכות שתנא קמא סובר שיש לאומרן לבין הברכות שרבי יהודה סובר שיש לאומרן.</w:t>
      </w:r>
    </w:p>
    <w:p w:rsidR="006D07BF" w:rsidRPr="00C115F6" w:rsidRDefault="00C115F6" w:rsidP="00C115F6">
      <w:pPr>
        <w:pStyle w:val="aa"/>
        <w:numPr>
          <w:ilvl w:val="0"/>
          <w:numId w:val="29"/>
        </w:numPr>
        <w:spacing w:after="200" w:line="360" w:lineRule="auto"/>
        <w:rPr>
          <w:rFonts w:ascii="David" w:hAnsi="David" w:cs="David"/>
          <w:sz w:val="24"/>
          <w:szCs w:val="24"/>
        </w:rPr>
      </w:pPr>
      <w:r w:rsidRPr="00FD7E71">
        <w:rPr>
          <w:rFonts w:ascii="David" w:hAnsi="David" w:cs="David"/>
          <w:sz w:val="24"/>
          <w:szCs w:val="24"/>
          <w:rtl/>
        </w:rPr>
        <w:t xml:space="preserve">הישג </w:t>
      </w:r>
      <w:r w:rsidRPr="00FD7E71">
        <w:rPr>
          <w:rFonts w:ascii="David" w:hAnsi="David" w:cs="David"/>
          <w:b/>
          <w:bCs/>
          <w:sz w:val="24"/>
          <w:szCs w:val="24"/>
          <w:rtl/>
        </w:rPr>
        <w:t>תורת חיים</w:t>
      </w:r>
      <w:r w:rsidRPr="00FD7E71">
        <w:rPr>
          <w:rFonts w:ascii="David" w:hAnsi="David" w:cs="David"/>
          <w:sz w:val="24"/>
          <w:szCs w:val="24"/>
          <w:rtl/>
        </w:rPr>
        <w:t>: התלמיד יכיר בצורך להוסיף בתפילות לה' בשעות משבר.</w:t>
      </w:r>
      <w:r w:rsidR="002B1C39" w:rsidRPr="00C115F6">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C115F6"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BD3" w:rsidRDefault="00B02BD3" w:rsidP="00284F1C">
      <w:pPr>
        <w:spacing w:after="0" w:line="240" w:lineRule="auto"/>
      </w:pPr>
      <w:r>
        <w:separator/>
      </w:r>
    </w:p>
  </w:endnote>
  <w:endnote w:type="continuationSeparator" w:id="0">
    <w:p w:rsidR="00B02BD3" w:rsidRDefault="00B02BD3"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BD3" w:rsidRDefault="00B02BD3" w:rsidP="00284F1C">
      <w:pPr>
        <w:spacing w:after="0" w:line="240" w:lineRule="auto"/>
      </w:pPr>
      <w:r>
        <w:separator/>
      </w:r>
    </w:p>
  </w:footnote>
  <w:footnote w:type="continuationSeparator" w:id="0">
    <w:p w:rsidR="00B02BD3" w:rsidRDefault="00B02BD3"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6"/>
  </w:num>
  <w:num w:numId="4">
    <w:abstractNumId w:val="15"/>
  </w:num>
  <w:num w:numId="5">
    <w:abstractNumId w:val="7"/>
  </w:num>
  <w:num w:numId="6">
    <w:abstractNumId w:val="10"/>
  </w:num>
  <w:num w:numId="7">
    <w:abstractNumId w:val="19"/>
  </w:num>
  <w:num w:numId="8">
    <w:abstractNumId w:val="1"/>
  </w:num>
  <w:num w:numId="9">
    <w:abstractNumId w:val="16"/>
  </w:num>
  <w:num w:numId="10">
    <w:abstractNumId w:val="28"/>
  </w:num>
  <w:num w:numId="11">
    <w:abstractNumId w:val="27"/>
  </w:num>
  <w:num w:numId="12">
    <w:abstractNumId w:val="22"/>
  </w:num>
  <w:num w:numId="13">
    <w:abstractNumId w:val="4"/>
  </w:num>
  <w:num w:numId="14">
    <w:abstractNumId w:val="26"/>
  </w:num>
  <w:num w:numId="15">
    <w:abstractNumId w:val="17"/>
  </w:num>
  <w:num w:numId="16">
    <w:abstractNumId w:val="21"/>
  </w:num>
  <w:num w:numId="17">
    <w:abstractNumId w:val="11"/>
  </w:num>
  <w:num w:numId="18">
    <w:abstractNumId w:val="13"/>
  </w:num>
  <w:num w:numId="19">
    <w:abstractNumId w:val="24"/>
  </w:num>
  <w:num w:numId="20">
    <w:abstractNumId w:val="18"/>
  </w:num>
  <w:num w:numId="21">
    <w:abstractNumId w:val="9"/>
  </w:num>
  <w:num w:numId="22">
    <w:abstractNumId w:val="8"/>
  </w:num>
  <w:num w:numId="23">
    <w:abstractNumId w:val="5"/>
  </w:num>
  <w:num w:numId="24">
    <w:abstractNumId w:val="14"/>
  </w:num>
  <w:num w:numId="25">
    <w:abstractNumId w:val="3"/>
  </w:num>
  <w:num w:numId="26">
    <w:abstractNumId w:val="29"/>
  </w:num>
  <w:num w:numId="27">
    <w:abstractNumId w:val="20"/>
  </w:num>
  <w:num w:numId="28">
    <w:abstractNumId w:val="25"/>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938A9"/>
    <w:rsid w:val="00114BEA"/>
    <w:rsid w:val="001167D5"/>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D0F07"/>
    <w:rsid w:val="00310D43"/>
    <w:rsid w:val="0032610B"/>
    <w:rsid w:val="00362250"/>
    <w:rsid w:val="00374A92"/>
    <w:rsid w:val="003B7CB0"/>
    <w:rsid w:val="003D2C9A"/>
    <w:rsid w:val="003D7674"/>
    <w:rsid w:val="004111BF"/>
    <w:rsid w:val="00417688"/>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9080B"/>
    <w:rsid w:val="007C37FF"/>
    <w:rsid w:val="00830598"/>
    <w:rsid w:val="0083237F"/>
    <w:rsid w:val="008476B9"/>
    <w:rsid w:val="00876C00"/>
    <w:rsid w:val="00902F05"/>
    <w:rsid w:val="0090670B"/>
    <w:rsid w:val="00927523"/>
    <w:rsid w:val="009B41FE"/>
    <w:rsid w:val="009D4263"/>
    <w:rsid w:val="009F16E3"/>
    <w:rsid w:val="00A204FE"/>
    <w:rsid w:val="00AB0E34"/>
    <w:rsid w:val="00B02BD3"/>
    <w:rsid w:val="00B86702"/>
    <w:rsid w:val="00BB5C11"/>
    <w:rsid w:val="00BC6037"/>
    <w:rsid w:val="00BD4A89"/>
    <w:rsid w:val="00C02E81"/>
    <w:rsid w:val="00C115F6"/>
    <w:rsid w:val="00C14419"/>
    <w:rsid w:val="00C35755"/>
    <w:rsid w:val="00C76634"/>
    <w:rsid w:val="00CD0EB4"/>
    <w:rsid w:val="00CD57F7"/>
    <w:rsid w:val="00D439D0"/>
    <w:rsid w:val="00D53F7F"/>
    <w:rsid w:val="00D8568D"/>
    <w:rsid w:val="00DD1FB2"/>
    <w:rsid w:val="00E0117C"/>
    <w:rsid w:val="00E46089"/>
    <w:rsid w:val="00E940EF"/>
    <w:rsid w:val="00ED2608"/>
    <w:rsid w:val="00EF1EEE"/>
    <w:rsid w:val="00F16493"/>
    <w:rsid w:val="00F24C13"/>
    <w:rsid w:val="00F610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2958</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2016-06-27T11:27:00Z</dcterms:created>
  <dcterms:modified xsi:type="dcterms:W3CDTF">2016-06-27T11:28:00Z</dcterms:modified>
</cp:coreProperties>
</file>